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608" w:rsidRDefault="008B0608">
      <w:pPr>
        <w:spacing w:after="216"/>
        <w:ind w:left="42"/>
        <w:jc w:val="center"/>
        <w:rPr>
          <w:color w:val="000000"/>
          <w:sz w:val="24"/>
          <w:szCs w:val="24"/>
        </w:rPr>
      </w:pPr>
      <w:bookmarkStart w:id="0" w:name="_GoBack"/>
      <w:bookmarkEnd w:id="0"/>
    </w:p>
    <w:p w:rsidR="00372FD3" w:rsidRDefault="009D36E8">
      <w:pPr>
        <w:spacing w:after="216"/>
        <w:ind w:left="42"/>
        <w:jc w:val="center"/>
        <w:rPr>
          <w:rFonts w:ascii="Times New Roman" w:eastAsia="Times New Roman" w:hAnsi="Times New Roman" w:cs="Times New Roman"/>
          <w:color w:val="00000A"/>
          <w:sz w:val="24"/>
          <w:szCs w:val="24"/>
        </w:rPr>
      </w:pPr>
      <w:r>
        <w:rPr>
          <w:rFonts w:ascii="Times New Roman" w:eastAsia="Times New Roman" w:hAnsi="Times New Roman" w:cs="Times New Roman"/>
          <w:noProof/>
          <w:color w:val="00000A"/>
          <w:sz w:val="24"/>
          <w:szCs w:val="24"/>
          <w:lang w:val="en-US" w:eastAsia="en-US"/>
        </w:rPr>
        <w:drawing>
          <wp:inline distT="0" distB="0" distL="0" distR="0">
            <wp:extent cx="962660" cy="1374775"/>
            <wp:effectExtent l="0" t="0" r="889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962660" cy="1374775"/>
                    </a:xfrm>
                    <a:prstGeom prst="rect">
                      <a:avLst/>
                    </a:prstGeom>
                    <a:ln/>
                  </pic:spPr>
                </pic:pic>
              </a:graphicData>
            </a:graphic>
          </wp:inline>
        </w:drawing>
      </w:r>
      <w:r>
        <w:rPr>
          <w:color w:val="000000"/>
          <w:sz w:val="24"/>
          <w:szCs w:val="24"/>
        </w:rPr>
        <w:t xml:space="preserve"> </w:t>
      </w:r>
    </w:p>
    <w:p w:rsidR="00372FD3" w:rsidRDefault="009D36E8">
      <w:pPr>
        <w:spacing w:after="294"/>
        <w:ind w:left="40"/>
        <w:jc w:val="center"/>
        <w:rPr>
          <w:rFonts w:ascii="Times New Roman" w:eastAsia="Times New Roman" w:hAnsi="Times New Roman" w:cs="Times New Roman"/>
          <w:color w:val="00000A"/>
          <w:sz w:val="24"/>
          <w:szCs w:val="24"/>
        </w:rPr>
      </w:pPr>
      <w:r>
        <w:rPr>
          <w:color w:val="000000"/>
          <w:sz w:val="24"/>
          <w:szCs w:val="24"/>
        </w:rPr>
        <w:t xml:space="preserve"> </w:t>
      </w:r>
    </w:p>
    <w:p w:rsidR="00372FD3" w:rsidRDefault="009D36E8">
      <w:pPr>
        <w:spacing w:after="0"/>
        <w:rPr>
          <w:rFonts w:ascii="Times New Roman" w:eastAsia="Times New Roman" w:hAnsi="Times New Roman" w:cs="Times New Roman"/>
          <w:sz w:val="24"/>
          <w:szCs w:val="24"/>
        </w:rPr>
      </w:pPr>
      <w:r>
        <w:rPr>
          <w:rFonts w:ascii="Times New Roman" w:eastAsia="Times New Roman" w:hAnsi="Times New Roman" w:cs="Times New Roman"/>
          <w:sz w:val="26"/>
          <w:szCs w:val="26"/>
        </w:rPr>
        <w:t xml:space="preserve"> </w:t>
      </w:r>
    </w:p>
    <w:p w:rsidR="00372FD3" w:rsidRPr="008B0608" w:rsidRDefault="009D36E8">
      <w:pPr>
        <w:spacing w:after="0"/>
        <w:rPr>
          <w:rFonts w:ascii="Times New Roman" w:eastAsia="Times New Roman" w:hAnsi="Times New Roman" w:cs="Times New Roman"/>
          <w:sz w:val="32"/>
          <w:szCs w:val="32"/>
        </w:rPr>
      </w:pPr>
      <w:r w:rsidRPr="008B0608">
        <w:rPr>
          <w:rFonts w:ascii="Times New Roman" w:eastAsia="Times New Roman" w:hAnsi="Times New Roman" w:cs="Times New Roman"/>
          <w:sz w:val="32"/>
          <w:szCs w:val="32"/>
        </w:rPr>
        <w:t xml:space="preserve"> </w:t>
      </w:r>
    </w:p>
    <w:p w:rsidR="00372FD3" w:rsidRPr="008B0608" w:rsidRDefault="009D36E8">
      <w:pPr>
        <w:spacing w:after="17"/>
        <w:rPr>
          <w:rFonts w:ascii="Times New Roman" w:eastAsia="Times New Roman" w:hAnsi="Times New Roman" w:cs="Times New Roman"/>
          <w:sz w:val="32"/>
          <w:szCs w:val="32"/>
        </w:rPr>
      </w:pPr>
      <w:r w:rsidRPr="008B0608">
        <w:rPr>
          <w:rFonts w:ascii="Times New Roman" w:eastAsia="Times New Roman" w:hAnsi="Times New Roman" w:cs="Times New Roman"/>
          <w:sz w:val="32"/>
          <w:szCs w:val="32"/>
        </w:rPr>
        <w:t xml:space="preserve"> </w:t>
      </w:r>
    </w:p>
    <w:p w:rsidR="008B0608" w:rsidRDefault="009D36E8">
      <w:pPr>
        <w:spacing w:after="207"/>
        <w:ind w:left="10" w:right="20" w:hanging="10"/>
        <w:jc w:val="center"/>
        <w:rPr>
          <w:rFonts w:ascii="Times New Roman" w:eastAsia="Times New Roman" w:hAnsi="Times New Roman" w:cs="Times New Roman"/>
          <w:b/>
          <w:sz w:val="32"/>
          <w:szCs w:val="32"/>
        </w:rPr>
      </w:pPr>
      <w:r w:rsidRPr="008B0608">
        <w:rPr>
          <w:rFonts w:ascii="Times New Roman" w:eastAsia="Times New Roman" w:hAnsi="Times New Roman" w:cs="Times New Roman"/>
          <w:b/>
          <w:sz w:val="32"/>
          <w:szCs w:val="32"/>
        </w:rPr>
        <w:t xml:space="preserve">REPORT OF THE PUBLIC </w:t>
      </w:r>
      <w:r w:rsidR="008B0608">
        <w:rPr>
          <w:rFonts w:ascii="Times New Roman" w:eastAsia="Times New Roman" w:hAnsi="Times New Roman" w:cs="Times New Roman"/>
          <w:b/>
          <w:sz w:val="32"/>
          <w:szCs w:val="32"/>
        </w:rPr>
        <w:t xml:space="preserve">HEARINGS </w:t>
      </w:r>
    </w:p>
    <w:p w:rsidR="00092A27" w:rsidRDefault="00092A27">
      <w:pPr>
        <w:spacing w:after="207"/>
        <w:ind w:left="10" w:right="20" w:hanging="10"/>
        <w:jc w:val="center"/>
        <w:rPr>
          <w:rFonts w:ascii="Times New Roman" w:eastAsia="Times New Roman" w:hAnsi="Times New Roman" w:cs="Times New Roman"/>
          <w:b/>
          <w:sz w:val="32"/>
          <w:szCs w:val="32"/>
        </w:rPr>
      </w:pPr>
    </w:p>
    <w:p w:rsidR="008B0608" w:rsidRDefault="008B0608">
      <w:pPr>
        <w:spacing w:after="207"/>
        <w:ind w:left="10" w:right="20" w:hanging="1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ON THE </w:t>
      </w:r>
    </w:p>
    <w:p w:rsidR="00092A27" w:rsidRDefault="00092A27">
      <w:pPr>
        <w:spacing w:after="207"/>
        <w:ind w:left="10" w:right="20" w:hanging="10"/>
        <w:jc w:val="center"/>
        <w:rPr>
          <w:rFonts w:ascii="Times New Roman" w:eastAsia="Times New Roman" w:hAnsi="Times New Roman" w:cs="Times New Roman"/>
          <w:b/>
          <w:sz w:val="32"/>
          <w:szCs w:val="32"/>
        </w:rPr>
      </w:pPr>
    </w:p>
    <w:p w:rsidR="00EA040F" w:rsidRDefault="00EA040F">
      <w:pPr>
        <w:spacing w:after="207"/>
        <w:ind w:left="10" w:right="20" w:hanging="10"/>
        <w:jc w:val="center"/>
        <w:rPr>
          <w:rFonts w:ascii="Times New Roman" w:eastAsia="Times New Roman" w:hAnsi="Times New Roman" w:cs="Times New Roman"/>
          <w:b/>
          <w:sz w:val="32"/>
          <w:szCs w:val="32"/>
        </w:rPr>
      </w:pPr>
      <w:r w:rsidRPr="008B0608">
        <w:rPr>
          <w:rFonts w:ascii="Times New Roman" w:eastAsia="Times New Roman" w:hAnsi="Times New Roman" w:cs="Times New Roman"/>
          <w:b/>
          <w:sz w:val="32"/>
          <w:szCs w:val="32"/>
        </w:rPr>
        <w:t xml:space="preserve">INSURANCE </w:t>
      </w:r>
      <w:r w:rsidR="00FC7D03">
        <w:rPr>
          <w:rFonts w:ascii="Times New Roman" w:eastAsia="Times New Roman" w:hAnsi="Times New Roman" w:cs="Times New Roman"/>
          <w:b/>
          <w:sz w:val="32"/>
          <w:szCs w:val="32"/>
        </w:rPr>
        <w:t xml:space="preserve">AND </w:t>
      </w:r>
      <w:r w:rsidRPr="008B0608">
        <w:rPr>
          <w:rFonts w:ascii="Times New Roman" w:eastAsia="Times New Roman" w:hAnsi="Times New Roman" w:cs="Times New Roman"/>
          <w:b/>
          <w:sz w:val="32"/>
          <w:szCs w:val="32"/>
        </w:rPr>
        <w:t xml:space="preserve">PENSIONS COMMISSION </w:t>
      </w:r>
      <w:r w:rsidR="00EC4281">
        <w:rPr>
          <w:rFonts w:ascii="Times New Roman" w:eastAsia="Times New Roman" w:hAnsi="Times New Roman" w:cs="Times New Roman"/>
          <w:b/>
          <w:sz w:val="32"/>
          <w:szCs w:val="32"/>
        </w:rPr>
        <w:t xml:space="preserve">(AMENDMENT) BILL, </w:t>
      </w:r>
      <w:r w:rsidRPr="008B0608">
        <w:rPr>
          <w:rFonts w:ascii="Times New Roman" w:eastAsia="Times New Roman" w:hAnsi="Times New Roman" w:cs="Times New Roman"/>
          <w:b/>
          <w:sz w:val="32"/>
          <w:szCs w:val="32"/>
        </w:rPr>
        <w:t>H. B 6, 2021</w:t>
      </w:r>
    </w:p>
    <w:p w:rsidR="00372FD3" w:rsidRPr="008B0608" w:rsidRDefault="00372FD3">
      <w:pPr>
        <w:spacing w:after="207"/>
        <w:ind w:left="10" w:right="20" w:hanging="10"/>
        <w:jc w:val="center"/>
        <w:rPr>
          <w:rFonts w:ascii="Times New Roman" w:eastAsia="Times New Roman" w:hAnsi="Times New Roman" w:cs="Times New Roman"/>
          <w:sz w:val="32"/>
          <w:szCs w:val="32"/>
        </w:rPr>
      </w:pPr>
    </w:p>
    <w:p w:rsidR="00372FD3" w:rsidRPr="008B0608" w:rsidRDefault="009D36E8">
      <w:pPr>
        <w:spacing w:after="0"/>
        <w:ind w:left="10" w:right="11" w:hanging="10"/>
        <w:jc w:val="center"/>
        <w:rPr>
          <w:rFonts w:ascii="Times New Roman" w:eastAsia="Times New Roman" w:hAnsi="Times New Roman" w:cs="Times New Roman"/>
          <w:color w:val="00000A"/>
          <w:sz w:val="32"/>
          <w:szCs w:val="32"/>
        </w:rPr>
      </w:pPr>
      <w:r w:rsidRPr="008B0608">
        <w:rPr>
          <w:color w:val="000000"/>
          <w:sz w:val="32"/>
          <w:szCs w:val="32"/>
        </w:rPr>
        <w:t xml:space="preserve"> </w:t>
      </w:r>
    </w:p>
    <w:p w:rsidR="00372FD3" w:rsidRDefault="009D36E8">
      <w:pPr>
        <w:spacing w:after="0"/>
        <w:ind w:left="10" w:right="13" w:hanging="10"/>
        <w:jc w:val="center"/>
        <w:rPr>
          <w:color w:val="000000"/>
          <w:sz w:val="32"/>
          <w:szCs w:val="32"/>
        </w:rPr>
      </w:pPr>
      <w:r w:rsidRPr="008B0608">
        <w:rPr>
          <w:color w:val="000000"/>
          <w:sz w:val="32"/>
          <w:szCs w:val="32"/>
        </w:rPr>
        <w:t xml:space="preserve"> </w:t>
      </w:r>
    </w:p>
    <w:p w:rsidR="00092A27" w:rsidRDefault="00092A27">
      <w:pPr>
        <w:spacing w:after="0"/>
        <w:ind w:left="10" w:right="13" w:hanging="10"/>
        <w:jc w:val="center"/>
        <w:rPr>
          <w:color w:val="000000"/>
          <w:sz w:val="32"/>
          <w:szCs w:val="32"/>
        </w:rPr>
      </w:pPr>
    </w:p>
    <w:p w:rsidR="00092A27" w:rsidRPr="008B0608" w:rsidRDefault="00092A27">
      <w:pPr>
        <w:spacing w:after="0"/>
        <w:ind w:left="10" w:right="13" w:hanging="10"/>
        <w:jc w:val="center"/>
        <w:rPr>
          <w:rFonts w:ascii="Times New Roman" w:eastAsia="Times New Roman" w:hAnsi="Times New Roman" w:cs="Times New Roman"/>
          <w:color w:val="00000A"/>
          <w:sz w:val="32"/>
          <w:szCs w:val="32"/>
        </w:rPr>
      </w:pPr>
    </w:p>
    <w:p w:rsidR="00EC4281" w:rsidRDefault="008B0608" w:rsidP="00EC4281">
      <w:pPr>
        <w:spacing w:after="0" w:line="362" w:lineRule="auto"/>
        <w:ind w:left="10" w:hanging="10"/>
        <w:jc w:val="center"/>
        <w:rPr>
          <w:rFonts w:ascii="Times New Roman" w:eastAsia="Times New Roman" w:hAnsi="Times New Roman" w:cs="Times New Roman"/>
          <w:b/>
          <w:sz w:val="32"/>
          <w:szCs w:val="32"/>
        </w:rPr>
      </w:pPr>
      <w:r w:rsidRPr="008B0608">
        <w:rPr>
          <w:rFonts w:ascii="Times New Roman" w:eastAsia="Times New Roman" w:hAnsi="Times New Roman" w:cs="Times New Roman"/>
          <w:b/>
          <w:sz w:val="32"/>
          <w:szCs w:val="32"/>
        </w:rPr>
        <w:t xml:space="preserve">PORTFOLIO COMMITTEE ON BUDGET, </w:t>
      </w:r>
      <w:r w:rsidR="00EC4281">
        <w:rPr>
          <w:rFonts w:ascii="Times New Roman" w:eastAsia="Times New Roman" w:hAnsi="Times New Roman" w:cs="Times New Roman"/>
          <w:b/>
          <w:sz w:val="32"/>
          <w:szCs w:val="32"/>
        </w:rPr>
        <w:t>FINANCE AND ECONOMIC DEVELOPMENT</w:t>
      </w:r>
    </w:p>
    <w:p w:rsidR="00092A27" w:rsidRDefault="00092A27" w:rsidP="00EC4281">
      <w:pPr>
        <w:spacing w:after="0" w:line="362" w:lineRule="auto"/>
        <w:ind w:left="10" w:hanging="10"/>
        <w:jc w:val="center"/>
        <w:rPr>
          <w:rFonts w:ascii="Times New Roman" w:eastAsia="Times New Roman" w:hAnsi="Times New Roman" w:cs="Times New Roman"/>
          <w:b/>
          <w:sz w:val="32"/>
          <w:szCs w:val="32"/>
        </w:rPr>
      </w:pPr>
    </w:p>
    <w:p w:rsidR="00092A27" w:rsidRDefault="00092A27" w:rsidP="00EC4281">
      <w:pPr>
        <w:spacing w:after="0" w:line="362" w:lineRule="auto"/>
        <w:ind w:left="10" w:hanging="10"/>
        <w:jc w:val="center"/>
        <w:rPr>
          <w:rFonts w:ascii="Times New Roman" w:eastAsia="Times New Roman" w:hAnsi="Times New Roman" w:cs="Times New Roman"/>
          <w:b/>
          <w:sz w:val="32"/>
          <w:szCs w:val="32"/>
        </w:rPr>
      </w:pPr>
    </w:p>
    <w:p w:rsidR="00372FD3" w:rsidRPr="00EC4281" w:rsidRDefault="00EC4281" w:rsidP="00EC4281">
      <w:pPr>
        <w:spacing w:after="0" w:line="362" w:lineRule="auto"/>
        <w:ind w:left="10" w:hanging="1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APRIL 2022</w:t>
      </w:r>
      <w:r w:rsidR="009D36E8">
        <w:rPr>
          <w:color w:val="000000"/>
          <w:sz w:val="24"/>
          <w:szCs w:val="24"/>
        </w:rPr>
        <w:t xml:space="preserve"> </w:t>
      </w:r>
    </w:p>
    <w:p w:rsidR="00372FD3" w:rsidRDefault="009D36E8">
      <w:pPr>
        <w:spacing w:after="0"/>
        <w:ind w:left="50"/>
        <w:jc w:val="center"/>
        <w:rPr>
          <w:rFonts w:ascii="Times New Roman" w:eastAsia="Times New Roman" w:hAnsi="Times New Roman" w:cs="Times New Roman"/>
          <w:color w:val="00000A"/>
          <w:sz w:val="24"/>
          <w:szCs w:val="24"/>
        </w:rPr>
      </w:pPr>
      <w:r>
        <w:rPr>
          <w:color w:val="000000"/>
          <w:sz w:val="24"/>
          <w:szCs w:val="24"/>
        </w:rPr>
        <w:t xml:space="preserve"> </w:t>
      </w:r>
    </w:p>
    <w:p w:rsidR="00372FD3" w:rsidRDefault="009D36E8">
      <w:pPr>
        <w:spacing w:after="0"/>
        <w:ind w:left="50"/>
        <w:jc w:val="center"/>
        <w:rPr>
          <w:rFonts w:ascii="Times New Roman" w:eastAsia="Times New Roman" w:hAnsi="Times New Roman" w:cs="Times New Roman"/>
          <w:color w:val="00000A"/>
          <w:sz w:val="24"/>
          <w:szCs w:val="24"/>
        </w:rPr>
      </w:pPr>
      <w:r>
        <w:rPr>
          <w:color w:val="000000"/>
          <w:sz w:val="24"/>
          <w:szCs w:val="24"/>
        </w:rPr>
        <w:t xml:space="preserve"> </w:t>
      </w:r>
    </w:p>
    <w:p w:rsidR="00372FD3" w:rsidRDefault="009D36E8">
      <w:pPr>
        <w:spacing w:after="0"/>
        <w:ind w:left="50"/>
        <w:jc w:val="center"/>
        <w:rPr>
          <w:rFonts w:ascii="Times New Roman" w:eastAsia="Times New Roman" w:hAnsi="Times New Roman" w:cs="Times New Roman"/>
          <w:color w:val="00000A"/>
          <w:sz w:val="24"/>
          <w:szCs w:val="24"/>
        </w:rPr>
      </w:pPr>
      <w:r>
        <w:rPr>
          <w:color w:val="000000"/>
          <w:sz w:val="24"/>
          <w:szCs w:val="24"/>
        </w:rPr>
        <w:t xml:space="preserve"> </w:t>
      </w:r>
    </w:p>
    <w:p w:rsidR="008B0608" w:rsidRDefault="009D36E8" w:rsidP="006358DF">
      <w:pPr>
        <w:spacing w:after="0"/>
        <w:ind w:left="50"/>
        <w:jc w:val="center"/>
        <w:rPr>
          <w:rFonts w:ascii="Times New Roman" w:eastAsia="Times New Roman" w:hAnsi="Times New Roman" w:cs="Times New Roman"/>
          <w:color w:val="00000A"/>
          <w:sz w:val="24"/>
          <w:szCs w:val="24"/>
        </w:rPr>
      </w:pPr>
      <w:r>
        <w:rPr>
          <w:color w:val="000000"/>
          <w:sz w:val="24"/>
          <w:szCs w:val="24"/>
        </w:rPr>
        <w:t xml:space="preserve"> </w:t>
      </w:r>
    </w:p>
    <w:p w:rsidR="008B0608" w:rsidRDefault="00F13F97" w:rsidP="00EC4281">
      <w:pPr>
        <w:pStyle w:val="ListParagraph"/>
        <w:numPr>
          <w:ilvl w:val="0"/>
          <w:numId w:val="9"/>
        </w:numPr>
        <w:spacing w:after="156" w:line="360" w:lineRule="auto"/>
        <w:ind w:left="567" w:hanging="567"/>
        <w:jc w:val="both"/>
        <w:rPr>
          <w:rFonts w:ascii="Times New Roman" w:eastAsia="Times New Roman" w:hAnsi="Times New Roman" w:cs="Times New Roman"/>
          <w:b/>
          <w:color w:val="000000"/>
          <w:sz w:val="24"/>
          <w:szCs w:val="24"/>
        </w:rPr>
      </w:pPr>
      <w:r w:rsidRPr="008B0608">
        <w:rPr>
          <w:rFonts w:ascii="Times New Roman" w:eastAsia="Times New Roman" w:hAnsi="Times New Roman" w:cs="Times New Roman"/>
          <w:b/>
          <w:color w:val="000000"/>
          <w:sz w:val="24"/>
          <w:szCs w:val="24"/>
        </w:rPr>
        <w:lastRenderedPageBreak/>
        <w:t>Introduction</w:t>
      </w:r>
    </w:p>
    <w:p w:rsidR="00A456F4" w:rsidRPr="00571D16" w:rsidRDefault="00F640E1" w:rsidP="00571D16">
      <w:pPr>
        <w:pStyle w:val="ListParagraph"/>
        <w:numPr>
          <w:ilvl w:val="1"/>
          <w:numId w:val="9"/>
        </w:numPr>
        <w:spacing w:after="156" w:line="360" w:lineRule="auto"/>
        <w:ind w:left="567" w:hanging="567"/>
        <w:jc w:val="both"/>
        <w:rPr>
          <w:rFonts w:ascii="Times New Roman" w:eastAsia="Times New Roman" w:hAnsi="Times New Roman" w:cs="Times New Roman"/>
          <w:color w:val="000000"/>
          <w:sz w:val="24"/>
          <w:szCs w:val="24"/>
        </w:rPr>
      </w:pPr>
      <w:r w:rsidRPr="009F02EF">
        <w:rPr>
          <w:rFonts w:ascii="Times New Roman" w:eastAsia="Times New Roman" w:hAnsi="Times New Roman" w:cs="Times New Roman"/>
          <w:color w:val="000000"/>
          <w:sz w:val="24"/>
          <w:szCs w:val="24"/>
        </w:rPr>
        <w:t>The Insurance and Pensions C</w:t>
      </w:r>
      <w:r w:rsidR="005D2DF2">
        <w:rPr>
          <w:rFonts w:ascii="Times New Roman" w:eastAsia="Times New Roman" w:hAnsi="Times New Roman" w:cs="Times New Roman"/>
          <w:color w:val="000000"/>
          <w:sz w:val="24"/>
          <w:szCs w:val="24"/>
        </w:rPr>
        <w:t xml:space="preserve">ommission </w:t>
      </w:r>
      <w:r w:rsidRPr="009F02EF">
        <w:rPr>
          <w:rFonts w:ascii="Times New Roman" w:eastAsia="Times New Roman" w:hAnsi="Times New Roman" w:cs="Times New Roman"/>
          <w:color w:val="000000"/>
          <w:sz w:val="24"/>
          <w:szCs w:val="24"/>
        </w:rPr>
        <w:t>plays a pivotal role in monitoring and regulating the insurance and pensions industry. T</w:t>
      </w:r>
      <w:r w:rsidR="00571D16">
        <w:rPr>
          <w:rFonts w:ascii="Times New Roman" w:eastAsia="Times New Roman" w:hAnsi="Times New Roman" w:cs="Times New Roman"/>
          <w:color w:val="000000"/>
          <w:sz w:val="24"/>
          <w:szCs w:val="24"/>
        </w:rPr>
        <w:t xml:space="preserve">his role is essential as it </w:t>
      </w:r>
      <w:r w:rsidRPr="009F02EF">
        <w:rPr>
          <w:rFonts w:ascii="Times New Roman" w:eastAsia="Times New Roman" w:hAnsi="Times New Roman" w:cs="Times New Roman"/>
          <w:color w:val="000000"/>
          <w:sz w:val="24"/>
          <w:szCs w:val="24"/>
        </w:rPr>
        <w:t>protect</w:t>
      </w:r>
      <w:r w:rsidR="00571D16">
        <w:rPr>
          <w:rFonts w:ascii="Times New Roman" w:eastAsia="Times New Roman" w:hAnsi="Times New Roman" w:cs="Times New Roman"/>
          <w:color w:val="000000"/>
          <w:sz w:val="24"/>
          <w:szCs w:val="24"/>
        </w:rPr>
        <w:t>s</w:t>
      </w:r>
      <w:r w:rsidRPr="009F02EF">
        <w:rPr>
          <w:rFonts w:ascii="Times New Roman" w:eastAsia="Times New Roman" w:hAnsi="Times New Roman" w:cs="Times New Roman"/>
          <w:color w:val="000000"/>
          <w:sz w:val="24"/>
          <w:szCs w:val="24"/>
        </w:rPr>
        <w:t xml:space="preserve"> consumers</w:t>
      </w:r>
      <w:r w:rsidR="00571D16">
        <w:rPr>
          <w:rFonts w:ascii="Times New Roman" w:eastAsia="Times New Roman" w:hAnsi="Times New Roman" w:cs="Times New Roman"/>
          <w:color w:val="000000"/>
          <w:sz w:val="24"/>
          <w:szCs w:val="24"/>
        </w:rPr>
        <w:t xml:space="preserve"> and service providers </w:t>
      </w:r>
      <w:r w:rsidRPr="009F02EF">
        <w:rPr>
          <w:rFonts w:ascii="Times New Roman" w:eastAsia="Times New Roman" w:hAnsi="Times New Roman" w:cs="Times New Roman"/>
          <w:color w:val="000000"/>
          <w:sz w:val="24"/>
          <w:szCs w:val="24"/>
        </w:rPr>
        <w:t>in markets where competitive forces are weak</w:t>
      </w:r>
      <w:r w:rsidR="00571D16">
        <w:rPr>
          <w:rFonts w:ascii="Times New Roman" w:eastAsia="Times New Roman" w:hAnsi="Times New Roman" w:cs="Times New Roman"/>
          <w:color w:val="000000"/>
          <w:sz w:val="24"/>
          <w:szCs w:val="24"/>
        </w:rPr>
        <w:t xml:space="preserve"> and </w:t>
      </w:r>
      <w:r w:rsidRPr="009F02EF">
        <w:rPr>
          <w:rFonts w:ascii="Times New Roman" w:eastAsia="Times New Roman" w:hAnsi="Times New Roman" w:cs="Times New Roman"/>
          <w:color w:val="000000"/>
          <w:sz w:val="24"/>
          <w:szCs w:val="24"/>
        </w:rPr>
        <w:t xml:space="preserve">close the </w:t>
      </w:r>
      <w:r w:rsidR="009F02EF" w:rsidRPr="009F02EF">
        <w:rPr>
          <w:rFonts w:ascii="Times New Roman" w:eastAsia="Times New Roman" w:hAnsi="Times New Roman" w:cs="Times New Roman"/>
          <w:color w:val="000000"/>
          <w:sz w:val="24"/>
          <w:szCs w:val="24"/>
        </w:rPr>
        <w:t>information a</w:t>
      </w:r>
      <w:r w:rsidRPr="009F02EF">
        <w:rPr>
          <w:rFonts w:ascii="Times New Roman" w:eastAsia="Times New Roman" w:hAnsi="Times New Roman" w:cs="Times New Roman"/>
          <w:color w:val="000000"/>
          <w:sz w:val="24"/>
          <w:szCs w:val="24"/>
        </w:rPr>
        <w:t>symmetry</w:t>
      </w:r>
      <w:r w:rsidR="009F02EF" w:rsidRPr="009F02EF">
        <w:rPr>
          <w:rFonts w:ascii="Times New Roman" w:eastAsia="Times New Roman" w:hAnsi="Times New Roman" w:cs="Times New Roman"/>
          <w:color w:val="000000"/>
          <w:sz w:val="24"/>
          <w:szCs w:val="24"/>
        </w:rPr>
        <w:t xml:space="preserve"> gap </w:t>
      </w:r>
      <w:r w:rsidRPr="009F02EF">
        <w:rPr>
          <w:rFonts w:ascii="Times New Roman" w:eastAsia="Times New Roman" w:hAnsi="Times New Roman" w:cs="Times New Roman"/>
          <w:color w:val="000000"/>
          <w:sz w:val="24"/>
          <w:szCs w:val="24"/>
        </w:rPr>
        <w:t>with</w:t>
      </w:r>
      <w:r w:rsidR="00571D16">
        <w:rPr>
          <w:rFonts w:ascii="Times New Roman" w:eastAsia="Times New Roman" w:hAnsi="Times New Roman" w:cs="Times New Roman"/>
          <w:color w:val="000000"/>
          <w:sz w:val="24"/>
          <w:szCs w:val="24"/>
        </w:rPr>
        <w:t>in</w:t>
      </w:r>
      <w:r w:rsidRPr="009F02EF">
        <w:rPr>
          <w:rFonts w:ascii="Times New Roman" w:eastAsia="Times New Roman" w:hAnsi="Times New Roman" w:cs="Times New Roman"/>
          <w:color w:val="000000"/>
          <w:sz w:val="24"/>
          <w:szCs w:val="24"/>
        </w:rPr>
        <w:t xml:space="preserve"> the </w:t>
      </w:r>
      <w:r w:rsidR="00571D16">
        <w:rPr>
          <w:rFonts w:ascii="Times New Roman" w:eastAsia="Times New Roman" w:hAnsi="Times New Roman" w:cs="Times New Roman"/>
          <w:color w:val="000000"/>
          <w:sz w:val="24"/>
          <w:szCs w:val="24"/>
        </w:rPr>
        <w:t>s</w:t>
      </w:r>
      <w:r w:rsidRPr="009F02EF">
        <w:rPr>
          <w:rFonts w:ascii="Times New Roman" w:eastAsia="Times New Roman" w:hAnsi="Times New Roman" w:cs="Times New Roman"/>
          <w:color w:val="000000"/>
          <w:sz w:val="24"/>
          <w:szCs w:val="24"/>
        </w:rPr>
        <w:t>ector</w:t>
      </w:r>
      <w:r w:rsidR="009F02EF" w:rsidRPr="009F02EF">
        <w:rPr>
          <w:rFonts w:ascii="Times New Roman" w:eastAsia="Times New Roman" w:hAnsi="Times New Roman" w:cs="Times New Roman"/>
          <w:color w:val="000000"/>
          <w:sz w:val="24"/>
          <w:szCs w:val="24"/>
        </w:rPr>
        <w:t xml:space="preserve">. </w:t>
      </w:r>
      <w:r w:rsidR="00571D16">
        <w:rPr>
          <w:rFonts w:ascii="Times New Roman" w:eastAsia="Times New Roman" w:hAnsi="Times New Roman" w:cs="Times New Roman"/>
          <w:color w:val="000000"/>
          <w:sz w:val="24"/>
          <w:szCs w:val="24"/>
        </w:rPr>
        <w:t xml:space="preserve">On the other hand, </w:t>
      </w:r>
      <w:r w:rsidR="00BE17BC" w:rsidRPr="00571D16">
        <w:rPr>
          <w:rFonts w:ascii="Times New Roman" w:eastAsia="Times New Roman" w:hAnsi="Times New Roman" w:cs="Times New Roman"/>
          <w:color w:val="000000"/>
          <w:sz w:val="24"/>
          <w:szCs w:val="24"/>
        </w:rPr>
        <w:t xml:space="preserve">stakeholders in the </w:t>
      </w:r>
      <w:r w:rsidR="00752291" w:rsidRPr="00571D16">
        <w:rPr>
          <w:rFonts w:ascii="Times New Roman" w:eastAsia="Times New Roman" w:hAnsi="Times New Roman" w:cs="Times New Roman"/>
          <w:color w:val="000000"/>
          <w:sz w:val="24"/>
          <w:szCs w:val="24"/>
        </w:rPr>
        <w:t xml:space="preserve">pension and insurance </w:t>
      </w:r>
      <w:r w:rsidR="00EC4281" w:rsidRPr="00571D16">
        <w:rPr>
          <w:rFonts w:ascii="Times New Roman" w:eastAsia="Times New Roman" w:hAnsi="Times New Roman" w:cs="Times New Roman"/>
          <w:color w:val="000000"/>
          <w:sz w:val="24"/>
          <w:szCs w:val="24"/>
        </w:rPr>
        <w:t xml:space="preserve">industry </w:t>
      </w:r>
      <w:r w:rsidR="00BE17BC" w:rsidRPr="00571D16">
        <w:rPr>
          <w:rFonts w:ascii="Times New Roman" w:eastAsia="Times New Roman" w:hAnsi="Times New Roman" w:cs="Times New Roman"/>
          <w:color w:val="000000"/>
          <w:sz w:val="24"/>
          <w:szCs w:val="24"/>
        </w:rPr>
        <w:t xml:space="preserve">have been </w:t>
      </w:r>
      <w:r w:rsidR="00EC4281" w:rsidRPr="00571D16">
        <w:rPr>
          <w:rFonts w:ascii="Times New Roman" w:eastAsia="Times New Roman" w:hAnsi="Times New Roman" w:cs="Times New Roman"/>
          <w:color w:val="000000"/>
          <w:sz w:val="24"/>
          <w:szCs w:val="24"/>
        </w:rPr>
        <w:t>calling upon the Government to revamp the sector through undertaking</w:t>
      </w:r>
      <w:r w:rsidR="00BE17BC" w:rsidRPr="00571D16">
        <w:rPr>
          <w:rFonts w:ascii="Times New Roman" w:eastAsia="Times New Roman" w:hAnsi="Times New Roman" w:cs="Times New Roman"/>
          <w:color w:val="000000"/>
          <w:sz w:val="24"/>
          <w:szCs w:val="24"/>
        </w:rPr>
        <w:t xml:space="preserve"> legislative and policy reforms</w:t>
      </w:r>
      <w:r w:rsidR="00EC4281" w:rsidRPr="00571D16">
        <w:rPr>
          <w:rFonts w:ascii="Times New Roman" w:eastAsia="Times New Roman" w:hAnsi="Times New Roman" w:cs="Times New Roman"/>
          <w:color w:val="000000"/>
          <w:sz w:val="24"/>
          <w:szCs w:val="24"/>
        </w:rPr>
        <w:t xml:space="preserve"> so that it becomes competitive nationally, regionally and internationally</w:t>
      </w:r>
      <w:r w:rsidR="00A456F4" w:rsidRPr="00571D16">
        <w:rPr>
          <w:rFonts w:ascii="Times New Roman" w:eastAsia="Times New Roman" w:hAnsi="Times New Roman" w:cs="Times New Roman"/>
          <w:color w:val="000000"/>
          <w:sz w:val="24"/>
          <w:szCs w:val="24"/>
        </w:rPr>
        <w:t xml:space="preserve">. </w:t>
      </w:r>
      <w:r w:rsidR="00571D16">
        <w:rPr>
          <w:rFonts w:ascii="Times New Roman" w:eastAsia="Times New Roman" w:hAnsi="Times New Roman" w:cs="Times New Roman"/>
          <w:color w:val="000000"/>
          <w:sz w:val="24"/>
          <w:szCs w:val="24"/>
        </w:rPr>
        <w:t>Indeed, t</w:t>
      </w:r>
      <w:r w:rsidR="00571D16" w:rsidRPr="00571D16">
        <w:rPr>
          <w:rFonts w:ascii="Times New Roman" w:eastAsia="Times New Roman" w:hAnsi="Times New Roman" w:cs="Times New Roman"/>
          <w:color w:val="000000"/>
          <w:sz w:val="24"/>
          <w:szCs w:val="24"/>
        </w:rPr>
        <w:t>he Justice Smith Commission of Inquiry pointed to regulatory failure as one of the major challenges impacting on the industry.</w:t>
      </w:r>
    </w:p>
    <w:p w:rsidR="00EC4281" w:rsidRPr="00A456F4" w:rsidRDefault="00BE17BC" w:rsidP="00A456F4">
      <w:pPr>
        <w:pStyle w:val="ListParagraph"/>
        <w:numPr>
          <w:ilvl w:val="1"/>
          <w:numId w:val="9"/>
        </w:numPr>
        <w:spacing w:after="156" w:line="360" w:lineRule="auto"/>
        <w:ind w:left="567" w:hanging="567"/>
        <w:jc w:val="both"/>
        <w:rPr>
          <w:rFonts w:ascii="Times New Roman" w:eastAsia="Times New Roman" w:hAnsi="Times New Roman" w:cs="Times New Roman"/>
          <w:color w:val="000000"/>
          <w:sz w:val="24"/>
          <w:szCs w:val="24"/>
        </w:rPr>
      </w:pPr>
      <w:r w:rsidRPr="00A456F4">
        <w:rPr>
          <w:rFonts w:ascii="Times New Roman" w:eastAsia="Times New Roman" w:hAnsi="Times New Roman" w:cs="Times New Roman"/>
          <w:color w:val="000000"/>
          <w:sz w:val="24"/>
          <w:szCs w:val="24"/>
        </w:rPr>
        <w:t xml:space="preserve">Hence, the </w:t>
      </w:r>
      <w:r w:rsidR="00E6053E" w:rsidRPr="00A456F4">
        <w:rPr>
          <w:rFonts w:ascii="Times New Roman" w:eastAsia="Times New Roman" w:hAnsi="Times New Roman" w:cs="Times New Roman"/>
          <w:color w:val="000000"/>
          <w:sz w:val="24"/>
          <w:szCs w:val="24"/>
        </w:rPr>
        <w:t xml:space="preserve">Insurance and Pensions Commission (Amendment) Bill </w:t>
      </w:r>
      <w:r w:rsidR="00092A27" w:rsidRPr="00A456F4">
        <w:rPr>
          <w:rFonts w:ascii="Times New Roman" w:eastAsia="Times New Roman" w:hAnsi="Times New Roman" w:cs="Times New Roman"/>
          <w:color w:val="000000"/>
          <w:sz w:val="24"/>
          <w:szCs w:val="24"/>
        </w:rPr>
        <w:t xml:space="preserve">was </w:t>
      </w:r>
      <w:r w:rsidR="00E6053E" w:rsidRPr="00A456F4">
        <w:rPr>
          <w:rFonts w:ascii="Times New Roman" w:eastAsia="Times New Roman" w:hAnsi="Times New Roman" w:cs="Times New Roman"/>
          <w:color w:val="000000"/>
          <w:sz w:val="24"/>
          <w:szCs w:val="24"/>
        </w:rPr>
        <w:t xml:space="preserve">gazetted on 10 September 2021 as the </w:t>
      </w:r>
      <w:r w:rsidR="004F4002" w:rsidRPr="00A456F4">
        <w:rPr>
          <w:rFonts w:ascii="Times New Roman" w:eastAsia="Times New Roman" w:hAnsi="Times New Roman" w:cs="Times New Roman"/>
          <w:color w:val="000000"/>
          <w:sz w:val="24"/>
          <w:szCs w:val="24"/>
        </w:rPr>
        <w:t>Government</w:t>
      </w:r>
      <w:r w:rsidR="00E6053E" w:rsidRPr="00A456F4">
        <w:rPr>
          <w:rFonts w:ascii="Times New Roman" w:eastAsia="Times New Roman" w:hAnsi="Times New Roman" w:cs="Times New Roman"/>
          <w:color w:val="000000"/>
          <w:sz w:val="24"/>
          <w:szCs w:val="24"/>
        </w:rPr>
        <w:t xml:space="preserve"> seeks to align the </w:t>
      </w:r>
      <w:r w:rsidR="004F4002" w:rsidRPr="00A456F4">
        <w:rPr>
          <w:rFonts w:ascii="Times New Roman" w:eastAsia="Times New Roman" w:hAnsi="Times New Roman" w:cs="Times New Roman"/>
          <w:color w:val="000000"/>
          <w:sz w:val="24"/>
          <w:szCs w:val="24"/>
        </w:rPr>
        <w:t xml:space="preserve">law </w:t>
      </w:r>
      <w:r w:rsidR="00E6053E" w:rsidRPr="00A456F4">
        <w:rPr>
          <w:rFonts w:ascii="Times New Roman" w:eastAsia="Times New Roman" w:hAnsi="Times New Roman" w:cs="Times New Roman"/>
          <w:color w:val="000000"/>
          <w:sz w:val="24"/>
          <w:szCs w:val="24"/>
        </w:rPr>
        <w:t>with t</w:t>
      </w:r>
      <w:r w:rsidR="00571D16">
        <w:rPr>
          <w:rFonts w:ascii="Times New Roman" w:eastAsia="Times New Roman" w:hAnsi="Times New Roman" w:cs="Times New Roman"/>
          <w:color w:val="000000"/>
          <w:sz w:val="24"/>
          <w:szCs w:val="24"/>
        </w:rPr>
        <w:t xml:space="preserve">he Constitution, and to implement </w:t>
      </w:r>
      <w:r w:rsidR="00E6053E" w:rsidRPr="00A456F4">
        <w:rPr>
          <w:rFonts w:ascii="Times New Roman" w:eastAsia="Times New Roman" w:hAnsi="Times New Roman" w:cs="Times New Roman"/>
          <w:color w:val="000000"/>
          <w:sz w:val="24"/>
          <w:szCs w:val="24"/>
        </w:rPr>
        <w:t xml:space="preserve">the recommendations as outlined by the Justice Smith Commission of Inquiry of 2017. </w:t>
      </w:r>
      <w:r w:rsidR="00A456F4">
        <w:rPr>
          <w:rFonts w:ascii="Times New Roman" w:eastAsia="Times New Roman" w:hAnsi="Times New Roman" w:cs="Times New Roman"/>
          <w:color w:val="000000"/>
          <w:sz w:val="24"/>
          <w:szCs w:val="24"/>
        </w:rPr>
        <w:t>T</w:t>
      </w:r>
      <w:r w:rsidR="00CE4F7A" w:rsidRPr="00A456F4">
        <w:rPr>
          <w:rFonts w:ascii="Times New Roman" w:eastAsia="Times New Roman" w:hAnsi="Times New Roman" w:cs="Times New Roman"/>
          <w:color w:val="000000"/>
          <w:sz w:val="24"/>
          <w:szCs w:val="24"/>
        </w:rPr>
        <w:t>he</w:t>
      </w:r>
      <w:r w:rsidR="003E62B8" w:rsidRPr="00A456F4">
        <w:rPr>
          <w:rFonts w:ascii="Times New Roman" w:eastAsia="Times New Roman" w:hAnsi="Times New Roman" w:cs="Times New Roman"/>
          <w:color w:val="000000"/>
          <w:sz w:val="24"/>
          <w:szCs w:val="24"/>
        </w:rPr>
        <w:t xml:space="preserve"> Bill </w:t>
      </w:r>
      <w:r w:rsidR="00571D16">
        <w:rPr>
          <w:rFonts w:ascii="Times New Roman" w:eastAsia="Times New Roman" w:hAnsi="Times New Roman" w:cs="Times New Roman"/>
          <w:color w:val="000000"/>
          <w:sz w:val="24"/>
          <w:szCs w:val="24"/>
        </w:rPr>
        <w:t xml:space="preserve">also </w:t>
      </w:r>
      <w:r w:rsidR="003E62B8" w:rsidRPr="00A456F4">
        <w:rPr>
          <w:rFonts w:ascii="Times New Roman" w:eastAsia="Times New Roman" w:hAnsi="Times New Roman" w:cs="Times New Roman"/>
          <w:color w:val="000000"/>
          <w:sz w:val="24"/>
          <w:szCs w:val="24"/>
        </w:rPr>
        <w:t>seeks to modernise and strengthen the regulation and supervision of the insurance industry by the Insurance and Pension Commission (IPEC) in line with international practice.</w:t>
      </w:r>
      <w:r w:rsidR="003E62B8" w:rsidRPr="00A456F4">
        <w:rPr>
          <w:rFonts w:ascii="Times New Roman" w:hAnsi="Times New Roman" w:cs="Times New Roman"/>
          <w:sz w:val="24"/>
          <w:szCs w:val="24"/>
        </w:rPr>
        <w:t xml:space="preserve"> </w:t>
      </w:r>
    </w:p>
    <w:p w:rsidR="00E90D48" w:rsidRPr="00E90D48" w:rsidRDefault="00E90D48" w:rsidP="00E90D48">
      <w:pPr>
        <w:pStyle w:val="ListParagraph"/>
        <w:spacing w:after="156" w:line="360" w:lineRule="auto"/>
        <w:ind w:left="567"/>
        <w:jc w:val="both"/>
        <w:rPr>
          <w:rFonts w:ascii="Times New Roman" w:eastAsia="Times New Roman" w:hAnsi="Times New Roman" w:cs="Times New Roman"/>
          <w:b/>
          <w:color w:val="000000"/>
          <w:sz w:val="24"/>
          <w:szCs w:val="24"/>
        </w:rPr>
      </w:pPr>
    </w:p>
    <w:p w:rsidR="008B0608" w:rsidRDefault="00F13F97" w:rsidP="00EC4281">
      <w:pPr>
        <w:pStyle w:val="ListParagraph"/>
        <w:numPr>
          <w:ilvl w:val="0"/>
          <w:numId w:val="9"/>
        </w:numPr>
        <w:spacing w:after="156" w:line="360" w:lineRule="auto"/>
        <w:ind w:left="567" w:hanging="567"/>
        <w:jc w:val="both"/>
        <w:rPr>
          <w:rFonts w:ascii="Times New Roman" w:eastAsia="Times New Roman" w:hAnsi="Times New Roman" w:cs="Times New Roman"/>
          <w:b/>
          <w:color w:val="000000"/>
          <w:sz w:val="24"/>
          <w:szCs w:val="24"/>
        </w:rPr>
      </w:pPr>
      <w:r w:rsidRPr="008B0608">
        <w:rPr>
          <w:rFonts w:ascii="Times New Roman" w:eastAsia="Times New Roman" w:hAnsi="Times New Roman" w:cs="Times New Roman"/>
          <w:b/>
          <w:color w:val="000000"/>
          <w:sz w:val="24"/>
          <w:szCs w:val="24"/>
        </w:rPr>
        <w:t xml:space="preserve">Background </w:t>
      </w:r>
      <w:r w:rsidR="00E01095">
        <w:rPr>
          <w:rFonts w:ascii="Times New Roman" w:eastAsia="Times New Roman" w:hAnsi="Times New Roman" w:cs="Times New Roman"/>
          <w:b/>
          <w:color w:val="000000"/>
          <w:sz w:val="24"/>
          <w:szCs w:val="24"/>
        </w:rPr>
        <w:t>to the Bill</w:t>
      </w:r>
    </w:p>
    <w:p w:rsidR="008B0608" w:rsidRPr="008B0608" w:rsidRDefault="009D36E8" w:rsidP="00EC4281">
      <w:pPr>
        <w:pStyle w:val="ListParagraph"/>
        <w:numPr>
          <w:ilvl w:val="1"/>
          <w:numId w:val="9"/>
        </w:numPr>
        <w:spacing w:after="156" w:line="360" w:lineRule="auto"/>
        <w:ind w:left="567" w:hanging="567"/>
        <w:jc w:val="both"/>
        <w:rPr>
          <w:rFonts w:ascii="Times New Roman" w:eastAsia="Times New Roman" w:hAnsi="Times New Roman" w:cs="Times New Roman"/>
          <w:b/>
          <w:color w:val="000000"/>
          <w:sz w:val="24"/>
          <w:szCs w:val="24"/>
        </w:rPr>
      </w:pPr>
      <w:r w:rsidRPr="008B0608">
        <w:rPr>
          <w:rFonts w:ascii="Times New Roman" w:eastAsia="Times New Roman" w:hAnsi="Times New Roman" w:cs="Times New Roman"/>
          <w:color w:val="000000"/>
          <w:sz w:val="24"/>
          <w:szCs w:val="24"/>
        </w:rPr>
        <w:t xml:space="preserve">Legislative reforms </w:t>
      </w:r>
      <w:r w:rsidR="002D3300" w:rsidRPr="008B0608">
        <w:rPr>
          <w:rFonts w:ascii="Times New Roman" w:eastAsia="Times New Roman" w:hAnsi="Times New Roman" w:cs="Times New Roman"/>
          <w:color w:val="000000"/>
          <w:sz w:val="24"/>
          <w:szCs w:val="24"/>
        </w:rPr>
        <w:t xml:space="preserve">in the pension and insurance sector </w:t>
      </w:r>
      <w:r w:rsidRPr="008B0608">
        <w:rPr>
          <w:rFonts w:ascii="Times New Roman" w:eastAsia="Times New Roman" w:hAnsi="Times New Roman" w:cs="Times New Roman"/>
          <w:color w:val="000000"/>
          <w:sz w:val="24"/>
          <w:szCs w:val="24"/>
        </w:rPr>
        <w:t xml:space="preserve">have been on the drawing board for </w:t>
      </w:r>
      <w:r w:rsidR="002D3300" w:rsidRPr="008B0608">
        <w:rPr>
          <w:rFonts w:ascii="Times New Roman" w:eastAsia="Times New Roman" w:hAnsi="Times New Roman" w:cs="Times New Roman"/>
          <w:color w:val="000000"/>
          <w:sz w:val="24"/>
          <w:szCs w:val="24"/>
        </w:rPr>
        <w:t xml:space="preserve">quite </w:t>
      </w:r>
      <w:r w:rsidRPr="008B0608">
        <w:rPr>
          <w:rFonts w:ascii="Times New Roman" w:eastAsia="Times New Roman" w:hAnsi="Times New Roman" w:cs="Times New Roman"/>
          <w:color w:val="000000"/>
          <w:sz w:val="24"/>
          <w:szCs w:val="24"/>
        </w:rPr>
        <w:t>some time and were further buttressed by the Justice Smith Commission of Inquiry Report, which recommended that certain deficiencies, particularly legislation, under the ambit of the sector be strengthened. Among the various pieces of legislation recommend</w:t>
      </w:r>
      <w:r w:rsidR="007F36DB" w:rsidRPr="008B0608">
        <w:rPr>
          <w:rFonts w:ascii="Times New Roman" w:eastAsia="Times New Roman" w:hAnsi="Times New Roman" w:cs="Times New Roman"/>
          <w:color w:val="000000"/>
          <w:sz w:val="24"/>
          <w:szCs w:val="24"/>
        </w:rPr>
        <w:t xml:space="preserve">ed for amendment in the sector is </w:t>
      </w:r>
      <w:r w:rsidRPr="008B0608">
        <w:rPr>
          <w:rFonts w:ascii="Times New Roman" w:eastAsia="Times New Roman" w:hAnsi="Times New Roman" w:cs="Times New Roman"/>
          <w:color w:val="000000"/>
          <w:sz w:val="24"/>
          <w:szCs w:val="24"/>
        </w:rPr>
        <w:t xml:space="preserve">the Insurance and Pensions Commission Act </w:t>
      </w:r>
      <w:r w:rsidR="007F36DB" w:rsidRPr="008B0608">
        <w:rPr>
          <w:rFonts w:ascii="Times New Roman" w:eastAsia="Times New Roman" w:hAnsi="Times New Roman" w:cs="Times New Roman"/>
          <w:i/>
          <w:color w:val="000000"/>
          <w:sz w:val="24"/>
          <w:szCs w:val="24"/>
        </w:rPr>
        <w:t xml:space="preserve">[Chapter 24:21] </w:t>
      </w:r>
      <w:r w:rsidRPr="00DC6386">
        <w:rPr>
          <w:rFonts w:ascii="Times New Roman" w:eastAsia="Times New Roman" w:hAnsi="Times New Roman" w:cs="Times New Roman"/>
          <w:color w:val="000000"/>
          <w:sz w:val="24"/>
          <w:szCs w:val="24"/>
        </w:rPr>
        <w:t>and the Insurance Act</w:t>
      </w:r>
      <w:r w:rsidRPr="008B0608">
        <w:rPr>
          <w:rFonts w:ascii="Times New Roman" w:eastAsia="Times New Roman" w:hAnsi="Times New Roman" w:cs="Times New Roman"/>
          <w:color w:val="000000"/>
          <w:sz w:val="24"/>
          <w:szCs w:val="24"/>
        </w:rPr>
        <w:t xml:space="preserve"> </w:t>
      </w:r>
      <w:r w:rsidRPr="008B0608">
        <w:rPr>
          <w:rFonts w:ascii="Times New Roman" w:eastAsia="Times New Roman" w:hAnsi="Times New Roman" w:cs="Times New Roman"/>
          <w:i/>
          <w:color w:val="000000"/>
          <w:sz w:val="24"/>
          <w:szCs w:val="24"/>
        </w:rPr>
        <w:t>[Chapter 24:07]</w:t>
      </w:r>
      <w:r w:rsidRPr="008B0608">
        <w:rPr>
          <w:rFonts w:ascii="Times New Roman" w:eastAsia="Times New Roman" w:hAnsi="Times New Roman" w:cs="Times New Roman"/>
          <w:color w:val="000000"/>
          <w:sz w:val="24"/>
          <w:szCs w:val="24"/>
        </w:rPr>
        <w:t>. The review of the</w:t>
      </w:r>
      <w:r w:rsidR="00E90D48">
        <w:rPr>
          <w:rFonts w:ascii="Times New Roman" w:eastAsia="Times New Roman" w:hAnsi="Times New Roman" w:cs="Times New Roman"/>
          <w:color w:val="000000"/>
          <w:sz w:val="24"/>
          <w:szCs w:val="24"/>
        </w:rPr>
        <w:t>se</w:t>
      </w:r>
      <w:r w:rsidRPr="008B0608">
        <w:rPr>
          <w:rFonts w:ascii="Times New Roman" w:eastAsia="Times New Roman" w:hAnsi="Times New Roman" w:cs="Times New Roman"/>
          <w:color w:val="000000"/>
          <w:sz w:val="24"/>
          <w:szCs w:val="24"/>
        </w:rPr>
        <w:t xml:space="preserve"> envisaged laws governing insurance, public and private occupational pension funds was viewed as vital in reorganising the</w:t>
      </w:r>
      <w:r w:rsidR="00E90D48">
        <w:rPr>
          <w:rFonts w:ascii="Times New Roman" w:eastAsia="Times New Roman" w:hAnsi="Times New Roman" w:cs="Times New Roman"/>
          <w:color w:val="000000"/>
          <w:sz w:val="24"/>
          <w:szCs w:val="24"/>
        </w:rPr>
        <w:t xml:space="preserve"> </w:t>
      </w:r>
      <w:r w:rsidRPr="008B0608">
        <w:rPr>
          <w:rFonts w:ascii="Times New Roman" w:eastAsia="Times New Roman" w:hAnsi="Times New Roman" w:cs="Times New Roman"/>
          <w:color w:val="000000"/>
          <w:sz w:val="24"/>
          <w:szCs w:val="24"/>
        </w:rPr>
        <w:t>industry</w:t>
      </w:r>
      <w:r w:rsidR="00E90D48">
        <w:rPr>
          <w:rFonts w:ascii="Times New Roman" w:eastAsia="Times New Roman" w:hAnsi="Times New Roman" w:cs="Times New Roman"/>
          <w:color w:val="000000"/>
          <w:sz w:val="24"/>
          <w:szCs w:val="24"/>
        </w:rPr>
        <w:t xml:space="preserve"> to become competitive</w:t>
      </w:r>
      <w:r w:rsidRPr="008B0608">
        <w:rPr>
          <w:rFonts w:ascii="Times New Roman" w:eastAsia="Times New Roman" w:hAnsi="Times New Roman" w:cs="Times New Roman"/>
          <w:color w:val="000000"/>
          <w:sz w:val="24"/>
          <w:szCs w:val="24"/>
        </w:rPr>
        <w:t xml:space="preserve">. </w:t>
      </w:r>
    </w:p>
    <w:p w:rsidR="008B0608" w:rsidRPr="00E90D48" w:rsidRDefault="008B0608" w:rsidP="00EC4281">
      <w:pPr>
        <w:pStyle w:val="ListParagraph"/>
        <w:numPr>
          <w:ilvl w:val="1"/>
          <w:numId w:val="9"/>
        </w:numPr>
        <w:spacing w:after="156" w:line="360" w:lineRule="auto"/>
        <w:ind w:left="567" w:hanging="567"/>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It i</w:t>
      </w:r>
      <w:r w:rsidR="009D36E8" w:rsidRPr="008B0608">
        <w:rPr>
          <w:rFonts w:ascii="Times New Roman" w:eastAsia="Times New Roman" w:hAnsi="Times New Roman" w:cs="Times New Roman"/>
          <w:color w:val="000000"/>
          <w:sz w:val="24"/>
          <w:szCs w:val="24"/>
        </w:rPr>
        <w:t xml:space="preserve">s against this backdrop that the </w:t>
      </w:r>
      <w:r w:rsidR="009D36E8" w:rsidRPr="008B0608">
        <w:rPr>
          <w:rFonts w:ascii="Times New Roman" w:eastAsia="Times New Roman" w:hAnsi="Times New Roman" w:cs="Times New Roman"/>
          <w:b/>
          <w:color w:val="000000"/>
          <w:sz w:val="24"/>
          <w:szCs w:val="24"/>
        </w:rPr>
        <w:t>Insurance Pensio</w:t>
      </w:r>
      <w:r w:rsidR="00E90D48">
        <w:rPr>
          <w:rFonts w:ascii="Times New Roman" w:eastAsia="Times New Roman" w:hAnsi="Times New Roman" w:cs="Times New Roman"/>
          <w:b/>
          <w:color w:val="000000"/>
          <w:sz w:val="24"/>
          <w:szCs w:val="24"/>
        </w:rPr>
        <w:t xml:space="preserve">ns Commission </w:t>
      </w:r>
      <w:r w:rsidR="005D2DF2">
        <w:rPr>
          <w:rFonts w:ascii="Times New Roman" w:eastAsia="Times New Roman" w:hAnsi="Times New Roman" w:cs="Times New Roman"/>
          <w:b/>
          <w:color w:val="000000"/>
          <w:sz w:val="24"/>
          <w:szCs w:val="24"/>
        </w:rPr>
        <w:t xml:space="preserve">(IPEC) Amendment </w:t>
      </w:r>
      <w:r w:rsidR="00E90D48">
        <w:rPr>
          <w:rFonts w:ascii="Times New Roman" w:eastAsia="Times New Roman" w:hAnsi="Times New Roman" w:cs="Times New Roman"/>
          <w:b/>
          <w:color w:val="000000"/>
          <w:sz w:val="24"/>
          <w:szCs w:val="24"/>
        </w:rPr>
        <w:t>Bill</w:t>
      </w:r>
      <w:r w:rsidR="009D36E8" w:rsidRPr="008B0608">
        <w:rPr>
          <w:rFonts w:ascii="Times New Roman" w:eastAsia="Times New Roman" w:hAnsi="Times New Roman" w:cs="Times New Roman"/>
          <w:b/>
          <w:color w:val="000000"/>
          <w:sz w:val="24"/>
          <w:szCs w:val="24"/>
        </w:rPr>
        <w:t xml:space="preserve"> </w:t>
      </w:r>
      <w:r w:rsidR="00DC6386">
        <w:rPr>
          <w:rFonts w:ascii="Times New Roman" w:eastAsia="Times New Roman" w:hAnsi="Times New Roman" w:cs="Times New Roman"/>
          <w:color w:val="000000"/>
          <w:sz w:val="24"/>
          <w:szCs w:val="24"/>
        </w:rPr>
        <w:t>was</w:t>
      </w:r>
      <w:r w:rsidR="009D36E8" w:rsidRPr="008B0608">
        <w:rPr>
          <w:rFonts w:ascii="Times New Roman" w:eastAsia="Times New Roman" w:hAnsi="Times New Roman" w:cs="Times New Roman"/>
          <w:color w:val="000000"/>
          <w:sz w:val="24"/>
          <w:szCs w:val="24"/>
        </w:rPr>
        <w:t xml:space="preserve"> gazetted</w:t>
      </w:r>
      <w:r w:rsidR="00E90D48">
        <w:rPr>
          <w:rFonts w:ascii="Times New Roman" w:eastAsia="Times New Roman" w:hAnsi="Times New Roman" w:cs="Times New Roman"/>
          <w:color w:val="000000"/>
          <w:sz w:val="24"/>
          <w:szCs w:val="24"/>
        </w:rPr>
        <w:t>, with the aim of</w:t>
      </w:r>
      <w:r w:rsidR="00DC6386">
        <w:rPr>
          <w:rFonts w:ascii="Times New Roman" w:eastAsia="Times New Roman" w:hAnsi="Times New Roman" w:cs="Times New Roman"/>
          <w:color w:val="000000"/>
          <w:sz w:val="24"/>
          <w:szCs w:val="24"/>
        </w:rPr>
        <w:t xml:space="preserve"> aligning the law with the Constitution, comply with the Justice Smith Commission of Inquiry and</w:t>
      </w:r>
      <w:r w:rsidR="009D36E8" w:rsidRPr="008B0608">
        <w:rPr>
          <w:rFonts w:ascii="Times New Roman" w:eastAsia="Times New Roman" w:hAnsi="Times New Roman" w:cs="Times New Roman"/>
          <w:color w:val="000000"/>
          <w:sz w:val="24"/>
          <w:szCs w:val="24"/>
        </w:rPr>
        <w:t xml:space="preserve"> modernising </w:t>
      </w:r>
      <w:r w:rsidR="00DC6386">
        <w:rPr>
          <w:rFonts w:ascii="Times New Roman" w:eastAsia="Times New Roman" w:hAnsi="Times New Roman" w:cs="Times New Roman"/>
          <w:color w:val="000000"/>
          <w:sz w:val="24"/>
          <w:szCs w:val="24"/>
        </w:rPr>
        <w:t xml:space="preserve">as well as </w:t>
      </w:r>
      <w:r w:rsidR="009D36E8" w:rsidRPr="008B0608">
        <w:rPr>
          <w:rFonts w:ascii="Times New Roman" w:eastAsia="Times New Roman" w:hAnsi="Times New Roman" w:cs="Times New Roman"/>
          <w:color w:val="000000"/>
          <w:sz w:val="24"/>
          <w:szCs w:val="24"/>
        </w:rPr>
        <w:t>strengthening the regulation and supervision of the insurance industry in li</w:t>
      </w:r>
      <w:r w:rsidRPr="008B0608">
        <w:rPr>
          <w:rFonts w:ascii="Times New Roman" w:eastAsia="Times New Roman" w:hAnsi="Times New Roman" w:cs="Times New Roman"/>
          <w:color w:val="000000"/>
          <w:sz w:val="24"/>
          <w:szCs w:val="24"/>
        </w:rPr>
        <w:t>ne with international practice.</w:t>
      </w:r>
    </w:p>
    <w:p w:rsidR="00E90D48" w:rsidRDefault="00E90D48" w:rsidP="00E90D48">
      <w:pPr>
        <w:pStyle w:val="ListParagraph"/>
        <w:spacing w:after="156" w:line="360" w:lineRule="auto"/>
        <w:ind w:left="567"/>
        <w:jc w:val="both"/>
        <w:rPr>
          <w:rFonts w:ascii="Times New Roman" w:eastAsia="Times New Roman" w:hAnsi="Times New Roman" w:cs="Times New Roman"/>
          <w:b/>
          <w:color w:val="000000"/>
          <w:sz w:val="24"/>
          <w:szCs w:val="24"/>
        </w:rPr>
      </w:pPr>
    </w:p>
    <w:p w:rsidR="005D2DF2" w:rsidRDefault="005D2DF2" w:rsidP="00E90D48">
      <w:pPr>
        <w:pStyle w:val="ListParagraph"/>
        <w:spacing w:after="156" w:line="360" w:lineRule="auto"/>
        <w:ind w:left="567"/>
        <w:jc w:val="both"/>
        <w:rPr>
          <w:rFonts w:ascii="Times New Roman" w:eastAsia="Times New Roman" w:hAnsi="Times New Roman" w:cs="Times New Roman"/>
          <w:b/>
          <w:color w:val="000000"/>
          <w:sz w:val="24"/>
          <w:szCs w:val="24"/>
        </w:rPr>
      </w:pPr>
    </w:p>
    <w:p w:rsidR="005D2DF2" w:rsidRPr="008B0608" w:rsidRDefault="005D2DF2" w:rsidP="00E90D48">
      <w:pPr>
        <w:pStyle w:val="ListParagraph"/>
        <w:spacing w:after="156" w:line="360" w:lineRule="auto"/>
        <w:ind w:left="567"/>
        <w:jc w:val="both"/>
        <w:rPr>
          <w:rFonts w:ascii="Times New Roman" w:eastAsia="Times New Roman" w:hAnsi="Times New Roman" w:cs="Times New Roman"/>
          <w:b/>
          <w:color w:val="000000"/>
          <w:sz w:val="24"/>
          <w:szCs w:val="24"/>
        </w:rPr>
      </w:pPr>
    </w:p>
    <w:p w:rsidR="008B0608" w:rsidRPr="00E90D48" w:rsidRDefault="00F13F97" w:rsidP="00EC4281">
      <w:pPr>
        <w:pStyle w:val="ListParagraph"/>
        <w:numPr>
          <w:ilvl w:val="0"/>
          <w:numId w:val="9"/>
        </w:numPr>
        <w:spacing w:after="156" w:line="360" w:lineRule="auto"/>
        <w:ind w:left="567" w:hanging="567"/>
        <w:jc w:val="both"/>
        <w:rPr>
          <w:rFonts w:ascii="Times New Roman" w:eastAsia="Times New Roman" w:hAnsi="Times New Roman" w:cs="Times New Roman"/>
          <w:b/>
          <w:color w:val="000000"/>
          <w:sz w:val="24"/>
          <w:szCs w:val="24"/>
        </w:rPr>
      </w:pPr>
      <w:r w:rsidRPr="00E90D48">
        <w:rPr>
          <w:rFonts w:ascii="Times New Roman" w:eastAsia="Times New Roman" w:hAnsi="Times New Roman" w:cs="Times New Roman"/>
          <w:b/>
          <w:color w:val="000000"/>
          <w:sz w:val="24"/>
          <w:szCs w:val="24"/>
        </w:rPr>
        <w:lastRenderedPageBreak/>
        <w:t>Methodology</w:t>
      </w:r>
    </w:p>
    <w:p w:rsidR="00E90D48" w:rsidRPr="00E90D48" w:rsidRDefault="00DC6386" w:rsidP="00E90D48">
      <w:pPr>
        <w:pStyle w:val="ListParagraph"/>
        <w:numPr>
          <w:ilvl w:val="1"/>
          <w:numId w:val="9"/>
        </w:numPr>
        <w:spacing w:after="156" w:line="360" w:lineRule="auto"/>
        <w:ind w:left="567" w:hanging="567"/>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Once a bill is </w:t>
      </w:r>
      <w:r w:rsidR="007F36DB" w:rsidRPr="00E90D48">
        <w:rPr>
          <w:rFonts w:ascii="Times New Roman" w:eastAsia="Times New Roman" w:hAnsi="Times New Roman" w:cs="Times New Roman"/>
          <w:color w:val="000000"/>
          <w:sz w:val="24"/>
          <w:szCs w:val="24"/>
        </w:rPr>
        <w:t>published in the Gazette, Section 141 of the Constitution requires Parliament to engage the general members of the public in its legislative processes and consult them on any Bill</w:t>
      </w:r>
      <w:r w:rsidR="005D2DF2">
        <w:rPr>
          <w:rFonts w:ascii="Times New Roman" w:eastAsia="Times New Roman" w:hAnsi="Times New Roman" w:cs="Times New Roman"/>
          <w:color w:val="000000"/>
          <w:sz w:val="24"/>
          <w:szCs w:val="24"/>
        </w:rPr>
        <w:t>s</w:t>
      </w:r>
      <w:r w:rsidR="007F36DB" w:rsidRPr="00E90D48">
        <w:rPr>
          <w:rFonts w:ascii="Times New Roman" w:eastAsia="Times New Roman" w:hAnsi="Times New Roman" w:cs="Times New Roman"/>
          <w:color w:val="000000"/>
          <w:sz w:val="24"/>
          <w:szCs w:val="24"/>
        </w:rPr>
        <w:t xml:space="preserve"> being considered in the August House. Therefore, in fulfilment of this constitutional obligation, Parliament, through the Portfolio Committee on Budget, Finance and Economic Development conducted public hearings on the </w:t>
      </w:r>
      <w:r w:rsidR="005D2DF2">
        <w:rPr>
          <w:rFonts w:ascii="Times New Roman" w:eastAsia="Times New Roman" w:hAnsi="Times New Roman" w:cs="Times New Roman"/>
          <w:color w:val="000000"/>
          <w:sz w:val="24"/>
          <w:szCs w:val="24"/>
        </w:rPr>
        <w:t>IPEC Amendment Bill</w:t>
      </w:r>
      <w:r w:rsidR="007F36DB" w:rsidRPr="00E90D48">
        <w:rPr>
          <w:rFonts w:ascii="Times New Roman" w:eastAsia="Times New Roman" w:hAnsi="Times New Roman" w:cs="Times New Roman"/>
          <w:color w:val="000000"/>
          <w:sz w:val="24"/>
          <w:szCs w:val="24"/>
        </w:rPr>
        <w:t xml:space="preserve"> to gather the views of the key stakeholders and the people of Zimbabwe. </w:t>
      </w:r>
    </w:p>
    <w:p w:rsidR="00E90D48" w:rsidRPr="00E90D48" w:rsidRDefault="00E90D48" w:rsidP="00E90D48">
      <w:pPr>
        <w:pStyle w:val="ListParagraph"/>
        <w:numPr>
          <w:ilvl w:val="1"/>
          <w:numId w:val="9"/>
        </w:numPr>
        <w:spacing w:after="156" w:line="360" w:lineRule="auto"/>
        <w:ind w:left="567" w:hanging="567"/>
        <w:jc w:val="both"/>
        <w:rPr>
          <w:rFonts w:ascii="Times New Roman" w:eastAsia="Times New Roman" w:hAnsi="Times New Roman" w:cs="Times New Roman"/>
          <w:b/>
          <w:color w:val="000000"/>
          <w:sz w:val="24"/>
          <w:szCs w:val="24"/>
        </w:rPr>
      </w:pPr>
      <w:r w:rsidRPr="00E90D48">
        <w:rPr>
          <w:rFonts w:ascii="Times New Roman" w:eastAsia="Times New Roman" w:hAnsi="Times New Roman" w:cs="Times New Roman"/>
          <w:color w:val="000000"/>
          <w:sz w:val="24"/>
          <w:szCs w:val="24"/>
        </w:rPr>
        <w:t>Given the technical nature of the Bills, th</w:t>
      </w:r>
      <w:r w:rsidR="000D6F43" w:rsidRPr="00E90D48">
        <w:rPr>
          <w:rFonts w:ascii="Times New Roman" w:eastAsia="Times New Roman" w:hAnsi="Times New Roman" w:cs="Times New Roman"/>
          <w:color w:val="000000"/>
          <w:sz w:val="24"/>
          <w:szCs w:val="24"/>
        </w:rPr>
        <w:t xml:space="preserve">e </w:t>
      </w:r>
      <w:r w:rsidR="007F36DB" w:rsidRPr="00E90D48">
        <w:rPr>
          <w:rFonts w:ascii="Times New Roman" w:eastAsia="Times New Roman" w:hAnsi="Times New Roman" w:cs="Times New Roman"/>
          <w:color w:val="000000"/>
          <w:sz w:val="24"/>
          <w:szCs w:val="24"/>
        </w:rPr>
        <w:t xml:space="preserve">Committee resolved to </w:t>
      </w:r>
      <w:r w:rsidR="000D6F43" w:rsidRPr="00E90D48">
        <w:rPr>
          <w:rFonts w:ascii="Times New Roman" w:eastAsia="Times New Roman" w:hAnsi="Times New Roman" w:cs="Times New Roman"/>
          <w:color w:val="000000"/>
          <w:sz w:val="24"/>
          <w:szCs w:val="24"/>
        </w:rPr>
        <w:t xml:space="preserve">invite </w:t>
      </w:r>
      <w:r w:rsidRPr="00E90D48">
        <w:rPr>
          <w:rFonts w:ascii="Times New Roman" w:eastAsia="Times New Roman" w:hAnsi="Times New Roman" w:cs="Times New Roman"/>
          <w:color w:val="000000"/>
          <w:sz w:val="24"/>
          <w:szCs w:val="24"/>
        </w:rPr>
        <w:t>Insurance and Pension Commission (</w:t>
      </w:r>
      <w:r w:rsidR="000D6F43" w:rsidRPr="00E90D48">
        <w:rPr>
          <w:rFonts w:ascii="Times New Roman" w:eastAsia="Times New Roman" w:hAnsi="Times New Roman" w:cs="Times New Roman"/>
          <w:color w:val="000000"/>
          <w:sz w:val="24"/>
          <w:szCs w:val="24"/>
        </w:rPr>
        <w:t>IPEC</w:t>
      </w:r>
      <w:r w:rsidRPr="00E90D48">
        <w:rPr>
          <w:rFonts w:ascii="Times New Roman" w:eastAsia="Times New Roman" w:hAnsi="Times New Roman" w:cs="Times New Roman"/>
          <w:color w:val="000000"/>
          <w:sz w:val="24"/>
          <w:szCs w:val="24"/>
        </w:rPr>
        <w:t>)</w:t>
      </w:r>
      <w:r w:rsidR="005D2DF2">
        <w:rPr>
          <w:rFonts w:ascii="Times New Roman" w:eastAsia="Times New Roman" w:hAnsi="Times New Roman" w:cs="Times New Roman"/>
          <w:color w:val="000000"/>
          <w:sz w:val="24"/>
          <w:szCs w:val="24"/>
        </w:rPr>
        <w:t xml:space="preserve"> to unpack the </w:t>
      </w:r>
      <w:r w:rsidR="000D6F43" w:rsidRPr="00E90D48">
        <w:rPr>
          <w:rFonts w:ascii="Times New Roman" w:eastAsia="Times New Roman" w:hAnsi="Times New Roman" w:cs="Times New Roman"/>
          <w:color w:val="000000"/>
          <w:sz w:val="24"/>
          <w:szCs w:val="24"/>
        </w:rPr>
        <w:t xml:space="preserve">Bill prior to </w:t>
      </w:r>
      <w:r w:rsidR="007F36DB" w:rsidRPr="00E90D48">
        <w:rPr>
          <w:rFonts w:ascii="Times New Roman" w:eastAsia="Times New Roman" w:hAnsi="Times New Roman" w:cs="Times New Roman"/>
          <w:color w:val="000000"/>
          <w:sz w:val="24"/>
          <w:szCs w:val="24"/>
        </w:rPr>
        <w:t>conduct</w:t>
      </w:r>
      <w:r w:rsidR="000D6F43" w:rsidRPr="00E90D48">
        <w:rPr>
          <w:rFonts w:ascii="Times New Roman" w:eastAsia="Times New Roman" w:hAnsi="Times New Roman" w:cs="Times New Roman"/>
          <w:color w:val="000000"/>
          <w:sz w:val="24"/>
          <w:szCs w:val="24"/>
        </w:rPr>
        <w:t xml:space="preserve">ing public hearing </w:t>
      </w:r>
      <w:r w:rsidR="007D296A" w:rsidRPr="00E90D48">
        <w:rPr>
          <w:rFonts w:ascii="Times New Roman" w:eastAsia="Times New Roman" w:hAnsi="Times New Roman" w:cs="Times New Roman"/>
          <w:color w:val="000000"/>
          <w:sz w:val="24"/>
          <w:szCs w:val="24"/>
        </w:rPr>
        <w:t>in selected provinces</w:t>
      </w:r>
      <w:r w:rsidRPr="00E90D48">
        <w:rPr>
          <w:rFonts w:ascii="Times New Roman" w:eastAsia="Times New Roman" w:hAnsi="Times New Roman" w:cs="Times New Roman"/>
          <w:color w:val="000000"/>
          <w:sz w:val="24"/>
          <w:szCs w:val="24"/>
        </w:rPr>
        <w:t xml:space="preserve"> in the country. </w:t>
      </w:r>
      <w:r w:rsidR="000F6A97" w:rsidRPr="00E90D48">
        <w:rPr>
          <w:rFonts w:ascii="Times New Roman" w:eastAsia="Times New Roman" w:hAnsi="Times New Roman" w:cs="Times New Roman"/>
          <w:color w:val="000000"/>
          <w:sz w:val="24"/>
          <w:szCs w:val="24"/>
        </w:rPr>
        <w:t xml:space="preserve">In view of that, the </w:t>
      </w:r>
      <w:r w:rsidR="009D36E8" w:rsidRPr="00E90D48">
        <w:rPr>
          <w:rFonts w:ascii="Times New Roman" w:eastAsia="Times New Roman" w:hAnsi="Times New Roman" w:cs="Times New Roman"/>
          <w:color w:val="000000"/>
          <w:sz w:val="24"/>
          <w:szCs w:val="24"/>
        </w:rPr>
        <w:t xml:space="preserve">Committee </w:t>
      </w:r>
      <w:r w:rsidR="000F6A97" w:rsidRPr="00E90D48">
        <w:rPr>
          <w:rFonts w:ascii="Times New Roman" w:eastAsia="Times New Roman" w:hAnsi="Times New Roman" w:cs="Times New Roman"/>
          <w:color w:val="000000"/>
          <w:sz w:val="24"/>
          <w:szCs w:val="24"/>
        </w:rPr>
        <w:t xml:space="preserve">participated at a two-day </w:t>
      </w:r>
      <w:r w:rsidR="009D36E8" w:rsidRPr="00E90D48">
        <w:rPr>
          <w:rFonts w:ascii="Times New Roman" w:eastAsia="Times New Roman" w:hAnsi="Times New Roman" w:cs="Times New Roman"/>
          <w:color w:val="000000"/>
          <w:sz w:val="24"/>
          <w:szCs w:val="24"/>
        </w:rPr>
        <w:t xml:space="preserve">workshop </w:t>
      </w:r>
      <w:r w:rsidR="007D296A" w:rsidRPr="00E90D48">
        <w:rPr>
          <w:rFonts w:ascii="Times New Roman" w:eastAsia="Times New Roman" w:hAnsi="Times New Roman" w:cs="Times New Roman"/>
          <w:color w:val="000000"/>
          <w:sz w:val="24"/>
          <w:szCs w:val="24"/>
        </w:rPr>
        <w:t xml:space="preserve">in Leopard Rock Hotel, Mutare </w:t>
      </w:r>
      <w:r w:rsidR="005D2DF2">
        <w:rPr>
          <w:rFonts w:ascii="Times New Roman" w:eastAsia="Times New Roman" w:hAnsi="Times New Roman" w:cs="Times New Roman"/>
          <w:color w:val="000000"/>
          <w:sz w:val="24"/>
          <w:szCs w:val="24"/>
        </w:rPr>
        <w:t>where the</w:t>
      </w:r>
      <w:r w:rsidR="007D296A" w:rsidRPr="00E90D48">
        <w:rPr>
          <w:rFonts w:ascii="Times New Roman" w:eastAsia="Times New Roman" w:hAnsi="Times New Roman" w:cs="Times New Roman"/>
          <w:color w:val="000000"/>
          <w:sz w:val="24"/>
          <w:szCs w:val="24"/>
        </w:rPr>
        <w:t xml:space="preserve"> bill</w:t>
      </w:r>
      <w:r w:rsidRPr="00E90D48">
        <w:rPr>
          <w:rFonts w:ascii="Times New Roman" w:eastAsia="Times New Roman" w:hAnsi="Times New Roman" w:cs="Times New Roman"/>
          <w:color w:val="000000"/>
          <w:sz w:val="24"/>
          <w:szCs w:val="24"/>
        </w:rPr>
        <w:t xml:space="preserve"> w</w:t>
      </w:r>
      <w:r w:rsidR="005D2DF2">
        <w:rPr>
          <w:rFonts w:ascii="Times New Roman" w:eastAsia="Times New Roman" w:hAnsi="Times New Roman" w:cs="Times New Roman"/>
          <w:color w:val="000000"/>
          <w:sz w:val="24"/>
          <w:szCs w:val="24"/>
        </w:rPr>
        <w:t>as</w:t>
      </w:r>
      <w:r w:rsidRPr="00E90D48">
        <w:rPr>
          <w:rFonts w:ascii="Times New Roman" w:eastAsia="Times New Roman" w:hAnsi="Times New Roman" w:cs="Times New Roman"/>
          <w:color w:val="000000"/>
          <w:sz w:val="24"/>
          <w:szCs w:val="24"/>
        </w:rPr>
        <w:t xml:space="preserve"> unpacked by IPEC</w:t>
      </w:r>
      <w:r w:rsidR="009D36E8" w:rsidRPr="00E90D48">
        <w:rPr>
          <w:rFonts w:ascii="Times New Roman" w:eastAsia="Times New Roman" w:hAnsi="Times New Roman" w:cs="Times New Roman"/>
          <w:color w:val="000000"/>
          <w:sz w:val="24"/>
          <w:szCs w:val="24"/>
        </w:rPr>
        <w:t>. This workshop was critical in aiding</w:t>
      </w:r>
      <w:r w:rsidR="007D296A" w:rsidRPr="00E90D48">
        <w:rPr>
          <w:rFonts w:ascii="Times New Roman" w:eastAsia="Times New Roman" w:hAnsi="Times New Roman" w:cs="Times New Roman"/>
          <w:color w:val="000000"/>
          <w:sz w:val="24"/>
          <w:szCs w:val="24"/>
        </w:rPr>
        <w:t xml:space="preserve"> the</w:t>
      </w:r>
      <w:r w:rsidR="009D36E8" w:rsidRPr="00E90D48">
        <w:rPr>
          <w:rFonts w:ascii="Times New Roman" w:eastAsia="Times New Roman" w:hAnsi="Times New Roman" w:cs="Times New Roman"/>
          <w:color w:val="000000"/>
          <w:sz w:val="24"/>
          <w:szCs w:val="24"/>
        </w:rPr>
        <w:t xml:space="preserve"> </w:t>
      </w:r>
      <w:r w:rsidR="007D296A" w:rsidRPr="00E90D48">
        <w:rPr>
          <w:rFonts w:ascii="Times New Roman" w:eastAsia="Times New Roman" w:hAnsi="Times New Roman" w:cs="Times New Roman"/>
          <w:color w:val="000000"/>
          <w:sz w:val="24"/>
          <w:szCs w:val="24"/>
        </w:rPr>
        <w:t xml:space="preserve">Committee </w:t>
      </w:r>
      <w:r w:rsidR="009D36E8" w:rsidRPr="00E90D48">
        <w:rPr>
          <w:rFonts w:ascii="Times New Roman" w:eastAsia="Times New Roman" w:hAnsi="Times New Roman" w:cs="Times New Roman"/>
          <w:color w:val="000000"/>
          <w:sz w:val="24"/>
          <w:szCs w:val="24"/>
        </w:rPr>
        <w:t>Members to better understand the provisions of both Bills befor</w:t>
      </w:r>
      <w:r w:rsidRPr="00E90D48">
        <w:rPr>
          <w:rFonts w:ascii="Times New Roman" w:eastAsia="Times New Roman" w:hAnsi="Times New Roman" w:cs="Times New Roman"/>
          <w:color w:val="000000"/>
          <w:sz w:val="24"/>
          <w:szCs w:val="24"/>
        </w:rPr>
        <w:t>e embarking on public hearings.</w:t>
      </w:r>
    </w:p>
    <w:p w:rsidR="00E90D48" w:rsidRPr="00E90D48" w:rsidRDefault="009D36E8" w:rsidP="00E90D48">
      <w:pPr>
        <w:pStyle w:val="ListParagraph"/>
        <w:numPr>
          <w:ilvl w:val="1"/>
          <w:numId w:val="9"/>
        </w:numPr>
        <w:spacing w:after="156" w:line="360" w:lineRule="auto"/>
        <w:ind w:left="567" w:hanging="567"/>
        <w:jc w:val="both"/>
        <w:rPr>
          <w:rFonts w:ascii="Times New Roman" w:eastAsia="Times New Roman" w:hAnsi="Times New Roman" w:cs="Times New Roman"/>
          <w:b/>
          <w:color w:val="000000"/>
          <w:sz w:val="24"/>
          <w:szCs w:val="24"/>
        </w:rPr>
      </w:pPr>
      <w:r w:rsidRPr="00E90D48">
        <w:rPr>
          <w:rFonts w:ascii="Times New Roman" w:eastAsia="Times New Roman" w:hAnsi="Times New Roman" w:cs="Times New Roman"/>
          <w:color w:val="000000"/>
          <w:sz w:val="24"/>
          <w:szCs w:val="24"/>
        </w:rPr>
        <w:t>Public hearings were then conducted from 13 to 16 March 2022 in Bulawayo, Mutare and Harare</w:t>
      </w:r>
      <w:r w:rsidR="007D296A" w:rsidRPr="00E90D48">
        <w:rPr>
          <w:rFonts w:ascii="Times New Roman" w:eastAsia="Times New Roman" w:hAnsi="Times New Roman" w:cs="Times New Roman"/>
          <w:color w:val="000000"/>
          <w:sz w:val="24"/>
          <w:szCs w:val="24"/>
        </w:rPr>
        <w:t xml:space="preserve">. Generally, attendance by the people of Zimbabwe was very poor as only </w:t>
      </w:r>
      <w:r w:rsidR="0080082D" w:rsidRPr="00E90D48">
        <w:rPr>
          <w:rFonts w:ascii="Times New Roman" w:eastAsia="Times New Roman" w:hAnsi="Times New Roman" w:cs="Times New Roman"/>
          <w:color w:val="000000"/>
          <w:sz w:val="24"/>
          <w:szCs w:val="24"/>
        </w:rPr>
        <w:t>a total of 25</w:t>
      </w:r>
      <w:r w:rsidR="007D296A" w:rsidRPr="00E90D48">
        <w:rPr>
          <w:rFonts w:ascii="Times New Roman" w:eastAsia="Times New Roman" w:hAnsi="Times New Roman" w:cs="Times New Roman"/>
          <w:color w:val="000000"/>
          <w:sz w:val="24"/>
          <w:szCs w:val="24"/>
        </w:rPr>
        <w:t xml:space="preserve"> people attended the 3 consultative meetings</w:t>
      </w:r>
      <w:r w:rsidR="0080082D" w:rsidRPr="00E90D48">
        <w:rPr>
          <w:rFonts w:ascii="Times New Roman" w:eastAsia="Times New Roman" w:hAnsi="Times New Roman" w:cs="Times New Roman"/>
          <w:color w:val="000000"/>
          <w:sz w:val="24"/>
          <w:szCs w:val="24"/>
        </w:rPr>
        <w:t>, as follows, Bulawayo (17), Mutare (1) and Harare (7)</w:t>
      </w:r>
      <w:r w:rsidR="007D296A" w:rsidRPr="00E90D48">
        <w:rPr>
          <w:rFonts w:ascii="Times New Roman" w:eastAsia="Times New Roman" w:hAnsi="Times New Roman" w:cs="Times New Roman"/>
          <w:color w:val="000000"/>
          <w:sz w:val="24"/>
          <w:szCs w:val="24"/>
        </w:rPr>
        <w:t xml:space="preserve">. </w:t>
      </w:r>
    </w:p>
    <w:p w:rsidR="00E90D48" w:rsidRPr="005D2DF2" w:rsidRDefault="008258AD" w:rsidP="00C907BD">
      <w:pPr>
        <w:pStyle w:val="ListParagraph"/>
        <w:numPr>
          <w:ilvl w:val="1"/>
          <w:numId w:val="9"/>
        </w:numPr>
        <w:spacing w:after="156" w:line="360" w:lineRule="auto"/>
        <w:ind w:left="567" w:hanging="567"/>
        <w:jc w:val="both"/>
        <w:rPr>
          <w:rFonts w:ascii="Times New Roman" w:eastAsia="Times New Roman" w:hAnsi="Times New Roman" w:cs="Times New Roman"/>
          <w:b/>
          <w:color w:val="000000"/>
          <w:sz w:val="24"/>
          <w:szCs w:val="24"/>
        </w:rPr>
      </w:pPr>
      <w:r w:rsidRPr="005D2DF2">
        <w:rPr>
          <w:rFonts w:ascii="Times New Roman" w:eastAsia="Times New Roman" w:hAnsi="Times New Roman" w:cs="Times New Roman"/>
          <w:color w:val="000000"/>
          <w:sz w:val="24"/>
          <w:szCs w:val="24"/>
          <w:lang w:val="en-ZW"/>
        </w:rPr>
        <w:t xml:space="preserve">The Committee then deliberated on the submissions received together with </w:t>
      </w:r>
      <w:r w:rsidR="00E90D48" w:rsidRPr="005D2DF2">
        <w:rPr>
          <w:rFonts w:ascii="Times New Roman" w:eastAsia="Times New Roman" w:hAnsi="Times New Roman" w:cs="Times New Roman"/>
          <w:color w:val="000000"/>
          <w:sz w:val="24"/>
          <w:szCs w:val="24"/>
          <w:lang w:val="en-ZW"/>
        </w:rPr>
        <w:t xml:space="preserve">the </w:t>
      </w:r>
      <w:r w:rsidRPr="005D2DF2">
        <w:rPr>
          <w:rFonts w:ascii="Times New Roman" w:eastAsia="Times New Roman" w:hAnsi="Times New Roman" w:cs="Times New Roman"/>
          <w:color w:val="000000"/>
          <w:sz w:val="24"/>
          <w:szCs w:val="24"/>
          <w:lang w:val="en-ZW"/>
        </w:rPr>
        <w:t>views</w:t>
      </w:r>
      <w:r w:rsidR="008B0608" w:rsidRPr="005D2DF2">
        <w:rPr>
          <w:rFonts w:ascii="Times New Roman" w:eastAsia="Times New Roman" w:hAnsi="Times New Roman" w:cs="Times New Roman"/>
          <w:color w:val="000000"/>
          <w:sz w:val="24"/>
          <w:szCs w:val="24"/>
          <w:lang w:val="en-ZW"/>
        </w:rPr>
        <w:t xml:space="preserve"> raised by </w:t>
      </w:r>
      <w:r w:rsidR="005D2DF2" w:rsidRPr="005D2DF2">
        <w:rPr>
          <w:rFonts w:ascii="Times New Roman" w:eastAsia="Times New Roman" w:hAnsi="Times New Roman" w:cs="Times New Roman"/>
          <w:color w:val="000000"/>
          <w:sz w:val="24"/>
          <w:szCs w:val="24"/>
          <w:lang w:val="en-ZW"/>
        </w:rPr>
        <w:t xml:space="preserve">the Committee and </w:t>
      </w:r>
      <w:r w:rsidRPr="005D2DF2">
        <w:rPr>
          <w:rFonts w:ascii="Times New Roman" w:eastAsia="Times New Roman" w:hAnsi="Times New Roman" w:cs="Times New Roman"/>
          <w:color w:val="000000"/>
          <w:sz w:val="24"/>
          <w:szCs w:val="24"/>
          <w:lang w:val="en-ZW"/>
        </w:rPr>
        <w:t xml:space="preserve">IPEC </w:t>
      </w:r>
      <w:r w:rsidR="00DC6386">
        <w:rPr>
          <w:rFonts w:ascii="Times New Roman" w:eastAsia="Times New Roman" w:hAnsi="Times New Roman" w:cs="Times New Roman"/>
          <w:color w:val="000000"/>
          <w:sz w:val="24"/>
          <w:szCs w:val="24"/>
          <w:lang w:val="en-ZW"/>
        </w:rPr>
        <w:t xml:space="preserve">during the capacity building workshop </w:t>
      </w:r>
      <w:r w:rsidRPr="005D2DF2">
        <w:rPr>
          <w:rFonts w:ascii="Times New Roman" w:eastAsia="Times New Roman" w:hAnsi="Times New Roman" w:cs="Times New Roman"/>
          <w:color w:val="000000"/>
          <w:sz w:val="24"/>
          <w:szCs w:val="24"/>
          <w:lang w:val="en-ZW"/>
        </w:rPr>
        <w:t xml:space="preserve">leading to the development of this report. </w:t>
      </w:r>
    </w:p>
    <w:p w:rsidR="005D2DF2" w:rsidRPr="005D2DF2" w:rsidRDefault="005D2DF2" w:rsidP="005D2DF2">
      <w:pPr>
        <w:pStyle w:val="ListParagraph"/>
        <w:spacing w:after="156" w:line="360" w:lineRule="auto"/>
        <w:ind w:left="567"/>
        <w:jc w:val="both"/>
        <w:rPr>
          <w:rFonts w:ascii="Times New Roman" w:eastAsia="Times New Roman" w:hAnsi="Times New Roman" w:cs="Times New Roman"/>
          <w:b/>
          <w:color w:val="000000"/>
          <w:sz w:val="24"/>
          <w:szCs w:val="24"/>
        </w:rPr>
      </w:pPr>
    </w:p>
    <w:p w:rsidR="009A0CA9" w:rsidRPr="009A0CA9" w:rsidRDefault="00F13F97" w:rsidP="009A0CA9">
      <w:pPr>
        <w:pStyle w:val="ListParagraph"/>
        <w:numPr>
          <w:ilvl w:val="0"/>
          <w:numId w:val="9"/>
        </w:numPr>
        <w:spacing w:after="156" w:line="360" w:lineRule="auto"/>
        <w:ind w:left="567" w:hanging="567"/>
        <w:jc w:val="both"/>
        <w:rPr>
          <w:rFonts w:ascii="Times New Roman" w:eastAsia="Times New Roman" w:hAnsi="Times New Roman" w:cs="Times New Roman"/>
          <w:b/>
          <w:color w:val="000000"/>
          <w:sz w:val="24"/>
          <w:szCs w:val="24"/>
        </w:rPr>
      </w:pPr>
      <w:r w:rsidRPr="005D2DF2">
        <w:rPr>
          <w:rFonts w:ascii="Times New Roman" w:hAnsi="Times New Roman" w:cs="Times New Roman"/>
          <w:b/>
          <w:sz w:val="24"/>
          <w:szCs w:val="24"/>
          <w:lang w:val="en-ZW" w:eastAsia="en-US"/>
        </w:rPr>
        <w:t>Summary o</w:t>
      </w:r>
      <w:r w:rsidR="00FE17D8" w:rsidRPr="005D2DF2">
        <w:rPr>
          <w:rFonts w:ascii="Times New Roman" w:hAnsi="Times New Roman" w:cs="Times New Roman"/>
          <w:b/>
          <w:sz w:val="24"/>
          <w:szCs w:val="24"/>
          <w:lang w:val="en-ZW" w:eastAsia="en-US"/>
        </w:rPr>
        <w:t xml:space="preserve">f Submissions </w:t>
      </w:r>
      <w:r w:rsidR="009A0CA9">
        <w:rPr>
          <w:rFonts w:ascii="Times New Roman" w:hAnsi="Times New Roman" w:cs="Times New Roman"/>
          <w:b/>
          <w:sz w:val="24"/>
          <w:szCs w:val="24"/>
          <w:lang w:val="en-ZW" w:eastAsia="en-US"/>
        </w:rPr>
        <w:t xml:space="preserve">Received </w:t>
      </w:r>
      <w:r w:rsidR="00FE17D8" w:rsidRPr="005D2DF2">
        <w:rPr>
          <w:rFonts w:ascii="Times New Roman" w:hAnsi="Times New Roman" w:cs="Times New Roman"/>
          <w:b/>
          <w:sz w:val="24"/>
          <w:szCs w:val="24"/>
          <w:lang w:val="en-ZW" w:eastAsia="en-US"/>
        </w:rPr>
        <w:t>on</w:t>
      </w:r>
      <w:r w:rsidRPr="005D2DF2">
        <w:rPr>
          <w:rFonts w:ascii="Times New Roman" w:hAnsi="Times New Roman" w:cs="Times New Roman"/>
          <w:b/>
          <w:sz w:val="24"/>
          <w:szCs w:val="24"/>
          <w:lang w:val="en-ZW" w:eastAsia="en-US"/>
        </w:rPr>
        <w:t xml:space="preserve"> the Bill</w:t>
      </w:r>
    </w:p>
    <w:p w:rsidR="009A0CA9" w:rsidRPr="00ED2961" w:rsidRDefault="00F13F97" w:rsidP="00ED2961">
      <w:pPr>
        <w:pStyle w:val="ListParagraph"/>
        <w:numPr>
          <w:ilvl w:val="1"/>
          <w:numId w:val="9"/>
        </w:numPr>
        <w:spacing w:after="156" w:line="360" w:lineRule="auto"/>
        <w:ind w:left="567" w:hanging="567"/>
        <w:jc w:val="both"/>
        <w:rPr>
          <w:rFonts w:ascii="Times New Roman" w:hAnsi="Times New Roman" w:cs="Times New Roman"/>
          <w:sz w:val="24"/>
          <w:szCs w:val="24"/>
          <w:lang w:val="en-ZW" w:eastAsia="en-US"/>
        </w:rPr>
      </w:pPr>
      <w:r w:rsidRPr="009A0CA9">
        <w:rPr>
          <w:rFonts w:ascii="Times New Roman" w:hAnsi="Times New Roman" w:cs="Times New Roman"/>
          <w:b/>
          <w:sz w:val="24"/>
          <w:szCs w:val="24"/>
          <w:lang w:val="en-ZW" w:eastAsia="en-US"/>
        </w:rPr>
        <w:t xml:space="preserve">Clause 2: </w:t>
      </w:r>
      <w:r w:rsidR="00CA22DF">
        <w:rPr>
          <w:rFonts w:ascii="Times New Roman" w:hAnsi="Times New Roman" w:cs="Times New Roman"/>
          <w:sz w:val="24"/>
          <w:szCs w:val="24"/>
          <w:lang w:val="en-ZW" w:eastAsia="en-US"/>
        </w:rPr>
        <w:t>the</w:t>
      </w:r>
      <w:r w:rsidR="00FD331C" w:rsidRPr="009A0CA9">
        <w:rPr>
          <w:rFonts w:ascii="Times New Roman" w:hAnsi="Times New Roman" w:cs="Times New Roman"/>
          <w:sz w:val="24"/>
          <w:szCs w:val="24"/>
          <w:lang w:val="en-ZW" w:eastAsia="en-US"/>
        </w:rPr>
        <w:t xml:space="preserve"> members of the public raised concern over the</w:t>
      </w:r>
      <w:r w:rsidR="00CA22DF">
        <w:rPr>
          <w:rFonts w:ascii="Times New Roman" w:hAnsi="Times New Roman" w:cs="Times New Roman"/>
          <w:sz w:val="24"/>
          <w:szCs w:val="24"/>
          <w:lang w:val="en-ZW" w:eastAsia="en-US"/>
        </w:rPr>
        <w:t xml:space="preserve"> missing definition of ‘asset’ in the Bill</w:t>
      </w:r>
      <w:r w:rsidR="00ED2961">
        <w:rPr>
          <w:rFonts w:ascii="Times New Roman" w:hAnsi="Times New Roman" w:cs="Times New Roman"/>
          <w:sz w:val="24"/>
          <w:szCs w:val="24"/>
          <w:lang w:val="en-ZW" w:eastAsia="en-US"/>
        </w:rPr>
        <w:t xml:space="preserve"> and the principal act</w:t>
      </w:r>
      <w:r w:rsidR="00CA22DF">
        <w:rPr>
          <w:rFonts w:ascii="Times New Roman" w:hAnsi="Times New Roman" w:cs="Times New Roman"/>
          <w:sz w:val="24"/>
          <w:szCs w:val="24"/>
          <w:lang w:val="en-ZW" w:eastAsia="en-US"/>
        </w:rPr>
        <w:t>. It was re</w:t>
      </w:r>
      <w:r w:rsidR="008735FA">
        <w:rPr>
          <w:rFonts w:ascii="Times New Roman" w:hAnsi="Times New Roman" w:cs="Times New Roman"/>
          <w:sz w:val="24"/>
          <w:szCs w:val="24"/>
          <w:lang w:val="en-ZW" w:eastAsia="en-US"/>
        </w:rPr>
        <w:t>commended that under this clause, the definition of ‘asset’ be included so that it does not refer to treasury bi</w:t>
      </w:r>
      <w:r w:rsidR="00ED2961">
        <w:rPr>
          <w:rFonts w:ascii="Times New Roman" w:hAnsi="Times New Roman" w:cs="Times New Roman"/>
          <w:sz w:val="24"/>
          <w:szCs w:val="24"/>
          <w:lang w:val="en-ZW" w:eastAsia="en-US"/>
        </w:rPr>
        <w:t>lls or any other assets that may be specified in the Bill</w:t>
      </w:r>
      <w:r w:rsidR="00ED2961" w:rsidRPr="00ED2961">
        <w:rPr>
          <w:rFonts w:ascii="Times New Roman" w:hAnsi="Times New Roman" w:cs="Times New Roman"/>
          <w:sz w:val="24"/>
          <w:szCs w:val="24"/>
          <w:lang w:eastAsia="en-US"/>
        </w:rPr>
        <w:t>. The members of the public argued that the failure to define “asset” and to distinguish between capital assets, investment assets, policyholder assets or shareholder assets left a lot of vagueness on the provisions of the Bill. The</w:t>
      </w:r>
      <w:r w:rsidR="00ED2961">
        <w:rPr>
          <w:rFonts w:ascii="Times New Roman" w:hAnsi="Times New Roman" w:cs="Times New Roman"/>
          <w:sz w:val="24"/>
          <w:szCs w:val="24"/>
          <w:lang w:eastAsia="en-US"/>
        </w:rPr>
        <w:t xml:space="preserve">refore, there is need </w:t>
      </w:r>
      <w:r w:rsidR="00ED2961" w:rsidRPr="00ED2961">
        <w:rPr>
          <w:rFonts w:ascii="Times New Roman" w:hAnsi="Times New Roman" w:cs="Times New Roman"/>
          <w:sz w:val="24"/>
          <w:szCs w:val="24"/>
          <w:lang w:eastAsia="en-US"/>
        </w:rPr>
        <w:t xml:space="preserve">to qualify the word “Asset” in the bill </w:t>
      </w:r>
      <w:r w:rsidR="001F39AE">
        <w:rPr>
          <w:rFonts w:ascii="Times New Roman" w:hAnsi="Times New Roman" w:cs="Times New Roman"/>
          <w:sz w:val="24"/>
          <w:szCs w:val="24"/>
          <w:lang w:eastAsia="en-US"/>
        </w:rPr>
        <w:t>in order to avoid vagueness as to actual meaning of the word</w:t>
      </w:r>
      <w:r w:rsidR="00ED2961" w:rsidRPr="00ED2961">
        <w:rPr>
          <w:rFonts w:ascii="Times New Roman" w:hAnsi="Times New Roman" w:cs="Times New Roman"/>
          <w:sz w:val="24"/>
          <w:szCs w:val="24"/>
          <w:lang w:eastAsia="en-US"/>
        </w:rPr>
        <w:t xml:space="preserve">.  </w:t>
      </w:r>
    </w:p>
    <w:p w:rsidR="009A0CA9" w:rsidRPr="009A0CA9" w:rsidRDefault="00E365E6" w:rsidP="009A0CA9">
      <w:pPr>
        <w:pStyle w:val="ListParagraph"/>
        <w:numPr>
          <w:ilvl w:val="1"/>
          <w:numId w:val="9"/>
        </w:numPr>
        <w:spacing w:after="156" w:line="360" w:lineRule="auto"/>
        <w:ind w:left="567" w:hanging="567"/>
        <w:jc w:val="both"/>
        <w:rPr>
          <w:rFonts w:ascii="Times New Roman" w:eastAsia="Times New Roman" w:hAnsi="Times New Roman" w:cs="Times New Roman"/>
          <w:b/>
          <w:color w:val="000000"/>
          <w:sz w:val="24"/>
          <w:szCs w:val="24"/>
        </w:rPr>
      </w:pPr>
      <w:r w:rsidRPr="009A0CA9">
        <w:rPr>
          <w:rFonts w:ascii="Times New Roman" w:hAnsi="Times New Roman" w:cs="Times New Roman"/>
          <w:b/>
          <w:sz w:val="24"/>
          <w:szCs w:val="24"/>
          <w:lang w:val="en-ZW" w:eastAsia="en-US"/>
        </w:rPr>
        <w:t xml:space="preserve">Clause 3: </w:t>
      </w:r>
      <w:r w:rsidR="000B5FAA" w:rsidRPr="009A0CA9">
        <w:rPr>
          <w:rFonts w:ascii="Times New Roman" w:hAnsi="Times New Roman" w:cs="Times New Roman"/>
          <w:sz w:val="24"/>
          <w:szCs w:val="24"/>
          <w:lang w:val="en-ZW" w:eastAsia="en-US"/>
        </w:rPr>
        <w:t>m</w:t>
      </w:r>
      <w:r w:rsidRPr="009A0CA9">
        <w:rPr>
          <w:rFonts w:ascii="Times New Roman" w:hAnsi="Times New Roman" w:cs="Times New Roman"/>
          <w:sz w:val="24"/>
          <w:szCs w:val="24"/>
          <w:lang w:val="en-ZW" w:eastAsia="en-US"/>
        </w:rPr>
        <w:t xml:space="preserve">embers of the public supported the inclusion of this provision under clause 3 as it </w:t>
      </w:r>
      <w:r w:rsidR="002C6516" w:rsidRPr="009A0CA9">
        <w:rPr>
          <w:rFonts w:ascii="Times New Roman" w:hAnsi="Times New Roman" w:cs="Times New Roman"/>
          <w:sz w:val="24"/>
          <w:szCs w:val="24"/>
          <w:lang w:val="en-ZW" w:eastAsia="en-US"/>
        </w:rPr>
        <w:t>seeks to strengthen the IPEC</w:t>
      </w:r>
      <w:r w:rsidR="00F13F97" w:rsidRPr="009A0CA9">
        <w:rPr>
          <w:rFonts w:ascii="Times New Roman" w:hAnsi="Times New Roman" w:cs="Times New Roman"/>
          <w:sz w:val="24"/>
          <w:szCs w:val="24"/>
          <w:lang w:val="en-ZW" w:eastAsia="en-US"/>
        </w:rPr>
        <w:t xml:space="preserve">, a provision which is missing in the principal act. Under this new provision, </w:t>
      </w:r>
      <w:r w:rsidR="002C6516" w:rsidRPr="009A0CA9">
        <w:rPr>
          <w:rFonts w:ascii="Times New Roman" w:hAnsi="Times New Roman" w:cs="Times New Roman"/>
          <w:sz w:val="24"/>
          <w:szCs w:val="24"/>
          <w:lang w:val="en-ZW" w:eastAsia="en-US"/>
        </w:rPr>
        <w:t xml:space="preserve">additional and clear roles of </w:t>
      </w:r>
      <w:r w:rsidR="00F13F97" w:rsidRPr="009A0CA9">
        <w:rPr>
          <w:rFonts w:ascii="Times New Roman" w:hAnsi="Times New Roman" w:cs="Times New Roman"/>
          <w:sz w:val="24"/>
          <w:szCs w:val="24"/>
          <w:lang w:val="en-ZW" w:eastAsia="en-US"/>
        </w:rPr>
        <w:t xml:space="preserve">IPEC </w:t>
      </w:r>
      <w:r w:rsidR="002C6516" w:rsidRPr="009A0CA9">
        <w:rPr>
          <w:rFonts w:ascii="Times New Roman" w:hAnsi="Times New Roman" w:cs="Times New Roman"/>
          <w:sz w:val="24"/>
          <w:szCs w:val="24"/>
          <w:lang w:val="en-ZW" w:eastAsia="en-US"/>
        </w:rPr>
        <w:t xml:space="preserve">are defined. This </w:t>
      </w:r>
      <w:r w:rsidR="00CF7824" w:rsidRPr="009A0CA9">
        <w:rPr>
          <w:rFonts w:ascii="Times New Roman" w:hAnsi="Times New Roman" w:cs="Times New Roman"/>
          <w:sz w:val="24"/>
          <w:szCs w:val="24"/>
          <w:lang w:val="en-ZW" w:eastAsia="en-US"/>
        </w:rPr>
        <w:t>will enable</w:t>
      </w:r>
      <w:r w:rsidR="002C6516" w:rsidRPr="009A0CA9">
        <w:rPr>
          <w:rFonts w:ascii="Times New Roman" w:hAnsi="Times New Roman" w:cs="Times New Roman"/>
          <w:sz w:val="24"/>
          <w:szCs w:val="24"/>
          <w:lang w:val="en-ZW" w:eastAsia="en-US"/>
        </w:rPr>
        <w:t xml:space="preserve"> IPEC to exercise its mandate effectively.</w:t>
      </w:r>
      <w:r w:rsidR="003E7440" w:rsidRPr="009A0CA9">
        <w:rPr>
          <w:rFonts w:ascii="Times New Roman" w:hAnsi="Times New Roman" w:cs="Times New Roman"/>
          <w:sz w:val="24"/>
          <w:szCs w:val="24"/>
          <w:lang w:val="en-ZW" w:eastAsia="en-US"/>
        </w:rPr>
        <w:t xml:space="preserve"> </w:t>
      </w:r>
      <w:r w:rsidR="00E11CFE" w:rsidRPr="009A0CA9">
        <w:rPr>
          <w:rFonts w:ascii="Times New Roman" w:hAnsi="Times New Roman" w:cs="Times New Roman"/>
          <w:sz w:val="24"/>
          <w:szCs w:val="24"/>
          <w:lang w:val="en-ZW" w:eastAsia="en-US"/>
        </w:rPr>
        <w:t xml:space="preserve">However, the Committee felt that subsection </w:t>
      </w:r>
      <w:r w:rsidR="00E11CFE" w:rsidRPr="009A0CA9">
        <w:rPr>
          <w:rFonts w:ascii="Times New Roman" w:hAnsi="Times New Roman" w:cs="Times New Roman"/>
          <w:sz w:val="24"/>
          <w:szCs w:val="24"/>
          <w:lang w:val="en-ZW" w:eastAsia="en-US"/>
        </w:rPr>
        <w:lastRenderedPageBreak/>
        <w:t>(c) and (d) must be removed since they are more administrative in nature than a legislative issue.</w:t>
      </w:r>
    </w:p>
    <w:p w:rsidR="009A0CA9" w:rsidRPr="009A0CA9" w:rsidRDefault="00CF7824" w:rsidP="009A0CA9">
      <w:pPr>
        <w:pStyle w:val="ListParagraph"/>
        <w:numPr>
          <w:ilvl w:val="1"/>
          <w:numId w:val="9"/>
        </w:numPr>
        <w:spacing w:after="156" w:line="360" w:lineRule="auto"/>
        <w:ind w:left="567" w:hanging="567"/>
        <w:jc w:val="both"/>
        <w:rPr>
          <w:rFonts w:ascii="Times New Roman" w:eastAsia="Times New Roman" w:hAnsi="Times New Roman" w:cs="Times New Roman"/>
          <w:b/>
          <w:color w:val="000000"/>
          <w:sz w:val="24"/>
          <w:szCs w:val="24"/>
        </w:rPr>
      </w:pPr>
      <w:r w:rsidRPr="009A0CA9">
        <w:rPr>
          <w:rFonts w:ascii="Times New Roman" w:hAnsi="Times New Roman" w:cs="Times New Roman"/>
          <w:b/>
          <w:sz w:val="24"/>
          <w:szCs w:val="24"/>
          <w:lang w:val="en-ZW" w:eastAsia="en-US"/>
        </w:rPr>
        <w:t xml:space="preserve">Clause 4: </w:t>
      </w:r>
      <w:r w:rsidR="000B5FAA" w:rsidRPr="009A0CA9">
        <w:rPr>
          <w:rFonts w:ascii="Times New Roman" w:hAnsi="Times New Roman" w:cs="Times New Roman"/>
          <w:sz w:val="24"/>
          <w:szCs w:val="24"/>
          <w:lang w:val="en-ZW" w:eastAsia="en-US"/>
        </w:rPr>
        <w:t>m</w:t>
      </w:r>
      <w:r w:rsidRPr="009A0CA9">
        <w:rPr>
          <w:rFonts w:ascii="Times New Roman" w:hAnsi="Times New Roman" w:cs="Times New Roman"/>
          <w:sz w:val="24"/>
          <w:szCs w:val="24"/>
          <w:lang w:val="en-ZW" w:eastAsia="en-US"/>
        </w:rPr>
        <w:t xml:space="preserve">embers of the public supported the submissions to the effect that </w:t>
      </w:r>
      <w:r w:rsidR="00BD3B7A" w:rsidRPr="009A0CA9">
        <w:rPr>
          <w:rFonts w:ascii="Times New Roman" w:hAnsi="Times New Roman" w:cs="Times New Roman"/>
          <w:sz w:val="24"/>
          <w:szCs w:val="24"/>
          <w:lang w:val="en-ZW" w:eastAsia="en-US"/>
        </w:rPr>
        <w:t xml:space="preserve">‘National Social Security Authority (NSSA) </w:t>
      </w:r>
      <w:r w:rsidR="008735FA">
        <w:rPr>
          <w:rFonts w:ascii="Times New Roman" w:hAnsi="Times New Roman" w:cs="Times New Roman"/>
          <w:sz w:val="24"/>
          <w:szCs w:val="24"/>
          <w:lang w:val="en-ZW" w:eastAsia="en-US"/>
        </w:rPr>
        <w:t xml:space="preserve">and medical aid societies </w:t>
      </w:r>
      <w:r w:rsidRPr="009A0CA9">
        <w:rPr>
          <w:rFonts w:ascii="Times New Roman" w:hAnsi="Times New Roman" w:cs="Times New Roman"/>
          <w:sz w:val="24"/>
          <w:szCs w:val="24"/>
          <w:lang w:val="en-ZW" w:eastAsia="en-US"/>
        </w:rPr>
        <w:t xml:space="preserve">should be regulated by the Commission and this has been long overdue. </w:t>
      </w:r>
      <w:r w:rsidR="00BD3B7A" w:rsidRPr="009A0CA9">
        <w:rPr>
          <w:rFonts w:ascii="Times New Roman" w:hAnsi="Times New Roman" w:cs="Times New Roman"/>
          <w:sz w:val="24"/>
          <w:szCs w:val="24"/>
          <w:lang w:val="en-ZW" w:eastAsia="en-US"/>
        </w:rPr>
        <w:t xml:space="preserve">This provision whereby NSSA </w:t>
      </w:r>
      <w:r w:rsidR="008735FA">
        <w:rPr>
          <w:rFonts w:ascii="Times New Roman" w:hAnsi="Times New Roman" w:cs="Times New Roman"/>
          <w:sz w:val="24"/>
          <w:szCs w:val="24"/>
          <w:lang w:val="en-ZW" w:eastAsia="en-US"/>
        </w:rPr>
        <w:t xml:space="preserve">and medical aid societies are </w:t>
      </w:r>
      <w:r w:rsidR="00BD3B7A" w:rsidRPr="009A0CA9">
        <w:rPr>
          <w:rFonts w:ascii="Times New Roman" w:hAnsi="Times New Roman" w:cs="Times New Roman"/>
          <w:sz w:val="24"/>
          <w:szCs w:val="24"/>
          <w:lang w:val="en-ZW" w:eastAsia="en-US"/>
        </w:rPr>
        <w:t>added into the basket of institutions that must be monitored and regulated by IPEC is in line with best practices. Currently NSSA is monitored and regulated under the Ministry of Public Service, Labour and Social Welfare</w:t>
      </w:r>
      <w:r w:rsidR="008735FA">
        <w:rPr>
          <w:rFonts w:ascii="Times New Roman" w:hAnsi="Times New Roman" w:cs="Times New Roman"/>
          <w:sz w:val="24"/>
          <w:szCs w:val="24"/>
          <w:lang w:val="en-ZW" w:eastAsia="en-US"/>
        </w:rPr>
        <w:t xml:space="preserve"> while medical aid societies </w:t>
      </w:r>
      <w:r w:rsidR="00ED2961">
        <w:rPr>
          <w:rFonts w:ascii="Times New Roman" w:hAnsi="Times New Roman" w:cs="Times New Roman"/>
          <w:sz w:val="24"/>
          <w:szCs w:val="24"/>
          <w:lang w:val="en-ZW" w:eastAsia="en-US"/>
        </w:rPr>
        <w:t>are</w:t>
      </w:r>
      <w:r w:rsidR="008735FA">
        <w:rPr>
          <w:rFonts w:ascii="Times New Roman" w:hAnsi="Times New Roman" w:cs="Times New Roman"/>
          <w:sz w:val="24"/>
          <w:szCs w:val="24"/>
          <w:lang w:val="en-ZW" w:eastAsia="en-US"/>
        </w:rPr>
        <w:t xml:space="preserve"> regulated by the Ministry of Health and Child Care</w:t>
      </w:r>
      <w:r w:rsidR="00BD3B7A" w:rsidRPr="009A0CA9">
        <w:rPr>
          <w:rFonts w:ascii="Times New Roman" w:hAnsi="Times New Roman" w:cs="Times New Roman"/>
          <w:sz w:val="24"/>
          <w:szCs w:val="24"/>
          <w:lang w:val="en-ZW" w:eastAsia="en-US"/>
        </w:rPr>
        <w:t xml:space="preserve">. </w:t>
      </w:r>
    </w:p>
    <w:p w:rsidR="009A0CA9" w:rsidRPr="009A0CA9" w:rsidRDefault="00BD3B7A" w:rsidP="009A0CA9">
      <w:pPr>
        <w:pStyle w:val="ListParagraph"/>
        <w:spacing w:after="156" w:line="360" w:lineRule="auto"/>
        <w:ind w:left="567"/>
        <w:jc w:val="both"/>
        <w:rPr>
          <w:rFonts w:ascii="Times New Roman" w:eastAsia="Times New Roman" w:hAnsi="Times New Roman" w:cs="Times New Roman"/>
          <w:b/>
          <w:color w:val="000000"/>
          <w:sz w:val="24"/>
          <w:szCs w:val="24"/>
        </w:rPr>
      </w:pPr>
      <w:r w:rsidRPr="00ED2961">
        <w:rPr>
          <w:rFonts w:ascii="Times New Roman" w:hAnsi="Times New Roman" w:cs="Times New Roman"/>
          <w:sz w:val="24"/>
          <w:szCs w:val="24"/>
          <w:lang w:val="en-ZW" w:eastAsia="en-US"/>
        </w:rPr>
        <w:t>However, i</w:t>
      </w:r>
      <w:r w:rsidR="00CF7824" w:rsidRPr="00ED2961">
        <w:rPr>
          <w:rFonts w:ascii="Times New Roman" w:hAnsi="Times New Roman" w:cs="Times New Roman"/>
          <w:sz w:val="24"/>
          <w:szCs w:val="24"/>
          <w:lang w:val="en-ZW" w:eastAsia="en-US"/>
        </w:rPr>
        <w:t>t was noted that although Clause 4 of the Bill proposes for the expansion of the functions of the C</w:t>
      </w:r>
      <w:r w:rsidR="002A542F" w:rsidRPr="00ED2961">
        <w:rPr>
          <w:rFonts w:ascii="Times New Roman" w:hAnsi="Times New Roman" w:cs="Times New Roman"/>
          <w:sz w:val="24"/>
          <w:szCs w:val="24"/>
          <w:lang w:val="en-ZW" w:eastAsia="en-US"/>
        </w:rPr>
        <w:t xml:space="preserve">ommission to include the accreditation </w:t>
      </w:r>
      <w:r w:rsidR="00CF7824" w:rsidRPr="00ED2961">
        <w:rPr>
          <w:rFonts w:ascii="Times New Roman" w:hAnsi="Times New Roman" w:cs="Times New Roman"/>
          <w:sz w:val="24"/>
          <w:szCs w:val="24"/>
          <w:lang w:val="en-ZW" w:eastAsia="en-US"/>
        </w:rPr>
        <w:t>of actuaries, auditors, asset managers, credit rating agencies “and other service providers”, it nonetheless fail</w:t>
      </w:r>
      <w:r w:rsidR="00ED2961" w:rsidRPr="00ED2961">
        <w:rPr>
          <w:rFonts w:ascii="Times New Roman" w:hAnsi="Times New Roman" w:cs="Times New Roman"/>
          <w:sz w:val="24"/>
          <w:szCs w:val="24"/>
          <w:lang w:val="en-ZW" w:eastAsia="en-US"/>
        </w:rPr>
        <w:t xml:space="preserve">s </w:t>
      </w:r>
      <w:r w:rsidR="00CF7824" w:rsidRPr="00ED2961">
        <w:rPr>
          <w:rFonts w:ascii="Times New Roman" w:hAnsi="Times New Roman" w:cs="Times New Roman"/>
          <w:sz w:val="24"/>
          <w:szCs w:val="24"/>
          <w:lang w:val="en-ZW" w:eastAsia="en-US"/>
        </w:rPr>
        <w:t xml:space="preserve">to set out the procedure by which auditors and actuaries should apply for accreditation, and the duration of the accreditation. It was therefore emphasised that either the bill or </w:t>
      </w:r>
      <w:r w:rsidR="00CF7824" w:rsidRPr="009A0CA9">
        <w:rPr>
          <w:rFonts w:ascii="Times New Roman" w:hAnsi="Times New Roman" w:cs="Times New Roman"/>
          <w:sz w:val="24"/>
          <w:szCs w:val="24"/>
          <w:lang w:val="en-ZW" w:eastAsia="en-US"/>
        </w:rPr>
        <w:t xml:space="preserve">a delegated legislation must be put in place to incorporate these important provisions under this clause. </w:t>
      </w:r>
    </w:p>
    <w:p w:rsidR="009A0CA9" w:rsidRPr="009A0CA9" w:rsidRDefault="00CF7824" w:rsidP="009A0CA9">
      <w:pPr>
        <w:pStyle w:val="ListParagraph"/>
        <w:spacing w:after="156" w:line="360" w:lineRule="auto"/>
        <w:ind w:left="567"/>
        <w:jc w:val="both"/>
        <w:rPr>
          <w:rFonts w:ascii="Times New Roman" w:eastAsia="Times New Roman" w:hAnsi="Times New Roman" w:cs="Times New Roman"/>
          <w:b/>
          <w:color w:val="000000"/>
          <w:sz w:val="24"/>
          <w:szCs w:val="24"/>
        </w:rPr>
      </w:pPr>
      <w:r w:rsidRPr="009A0CA9">
        <w:rPr>
          <w:rFonts w:ascii="Times New Roman" w:hAnsi="Times New Roman" w:cs="Times New Roman"/>
          <w:sz w:val="24"/>
          <w:szCs w:val="24"/>
          <w:lang w:val="en-ZW" w:eastAsia="en-US"/>
        </w:rPr>
        <w:t>Members of the public also raised concern over a provision</w:t>
      </w:r>
      <w:r w:rsidR="002A542F">
        <w:rPr>
          <w:rFonts w:ascii="Times New Roman" w:hAnsi="Times New Roman" w:cs="Times New Roman"/>
          <w:sz w:val="24"/>
          <w:szCs w:val="24"/>
          <w:lang w:val="en-ZW" w:eastAsia="en-US"/>
        </w:rPr>
        <w:t xml:space="preserve"> for regulating and accrediting asset m</w:t>
      </w:r>
      <w:r w:rsidRPr="009A0CA9">
        <w:rPr>
          <w:rFonts w:ascii="Times New Roman" w:hAnsi="Times New Roman" w:cs="Times New Roman"/>
          <w:sz w:val="24"/>
          <w:szCs w:val="24"/>
          <w:lang w:val="en-ZW" w:eastAsia="en-US"/>
        </w:rPr>
        <w:t xml:space="preserve">anagers, </w:t>
      </w:r>
      <w:r w:rsidR="002A542F">
        <w:rPr>
          <w:rFonts w:ascii="Times New Roman" w:hAnsi="Times New Roman" w:cs="Times New Roman"/>
          <w:sz w:val="24"/>
          <w:szCs w:val="24"/>
          <w:lang w:val="en-ZW" w:eastAsia="en-US"/>
        </w:rPr>
        <w:t xml:space="preserve">auditors and actuaries </w:t>
      </w:r>
      <w:r w:rsidRPr="009A0CA9">
        <w:rPr>
          <w:rFonts w:ascii="Times New Roman" w:hAnsi="Times New Roman" w:cs="Times New Roman"/>
          <w:sz w:val="24"/>
          <w:szCs w:val="24"/>
          <w:lang w:val="en-ZW" w:eastAsia="en-US"/>
        </w:rPr>
        <w:t>arguing that it was unneces</w:t>
      </w:r>
      <w:r w:rsidR="002A542F">
        <w:rPr>
          <w:rFonts w:ascii="Times New Roman" w:hAnsi="Times New Roman" w:cs="Times New Roman"/>
          <w:sz w:val="24"/>
          <w:szCs w:val="24"/>
          <w:lang w:val="en-ZW" w:eastAsia="en-US"/>
        </w:rPr>
        <w:t xml:space="preserve">sary. </w:t>
      </w:r>
      <w:r w:rsidR="00B2289B">
        <w:rPr>
          <w:rFonts w:ascii="Times New Roman" w:hAnsi="Times New Roman" w:cs="Times New Roman"/>
          <w:sz w:val="24"/>
          <w:szCs w:val="24"/>
          <w:lang w:val="en-ZW" w:eastAsia="en-US"/>
        </w:rPr>
        <w:t>It was highlighted that professions such as asset managers are already regulated under the Asset Management Act, Auditors are regulated by Public Accountants and Auditors Board, among others, hence the involvement of IPEC would be double regulation.</w:t>
      </w:r>
    </w:p>
    <w:p w:rsidR="009A0CA9" w:rsidRPr="009A0CA9" w:rsidRDefault="00CF7824" w:rsidP="009A0CA9">
      <w:pPr>
        <w:pStyle w:val="ListParagraph"/>
        <w:spacing w:after="156" w:line="360" w:lineRule="auto"/>
        <w:ind w:left="567"/>
        <w:jc w:val="both"/>
        <w:rPr>
          <w:rFonts w:ascii="Times New Roman" w:eastAsia="Times New Roman" w:hAnsi="Times New Roman" w:cs="Times New Roman"/>
          <w:b/>
          <w:color w:val="000000"/>
          <w:sz w:val="24"/>
          <w:szCs w:val="24"/>
        </w:rPr>
      </w:pPr>
      <w:r w:rsidRPr="009A0CA9">
        <w:rPr>
          <w:rFonts w:ascii="Times New Roman" w:hAnsi="Times New Roman" w:cs="Times New Roman"/>
          <w:sz w:val="24"/>
          <w:szCs w:val="24"/>
          <w:lang w:val="en-ZW" w:eastAsia="en-US"/>
        </w:rPr>
        <w:t>Furthermore, submissio</w:t>
      </w:r>
      <w:r w:rsidR="00B2289B">
        <w:rPr>
          <w:rFonts w:ascii="Times New Roman" w:hAnsi="Times New Roman" w:cs="Times New Roman"/>
          <w:sz w:val="24"/>
          <w:szCs w:val="24"/>
          <w:lang w:val="en-ZW" w:eastAsia="en-US"/>
        </w:rPr>
        <w:t xml:space="preserve">ns were made that a provision to accredit </w:t>
      </w:r>
      <w:r w:rsidRPr="009A0CA9">
        <w:rPr>
          <w:rFonts w:ascii="Times New Roman" w:hAnsi="Times New Roman" w:cs="Times New Roman"/>
          <w:sz w:val="24"/>
          <w:szCs w:val="24"/>
          <w:lang w:val="en-ZW" w:eastAsia="en-US"/>
        </w:rPr>
        <w:t xml:space="preserve">“other service providers” in this clause was vague </w:t>
      </w:r>
      <w:r w:rsidR="00B2289B">
        <w:rPr>
          <w:rFonts w:ascii="Times New Roman" w:hAnsi="Times New Roman" w:cs="Times New Roman"/>
          <w:sz w:val="24"/>
          <w:szCs w:val="24"/>
          <w:lang w:val="en-ZW" w:eastAsia="en-US"/>
        </w:rPr>
        <w:t>as it is an open check to IPEC to do as it please</w:t>
      </w:r>
      <w:r w:rsidR="00545AD9">
        <w:rPr>
          <w:rFonts w:ascii="Times New Roman" w:hAnsi="Times New Roman" w:cs="Times New Roman"/>
          <w:sz w:val="24"/>
          <w:szCs w:val="24"/>
          <w:lang w:val="en-ZW" w:eastAsia="en-US"/>
        </w:rPr>
        <w:t>s</w:t>
      </w:r>
      <w:r w:rsidR="00B2289B">
        <w:rPr>
          <w:rFonts w:ascii="Times New Roman" w:hAnsi="Times New Roman" w:cs="Times New Roman"/>
          <w:sz w:val="24"/>
          <w:szCs w:val="24"/>
          <w:lang w:val="en-ZW" w:eastAsia="en-US"/>
        </w:rPr>
        <w:t>. T</w:t>
      </w:r>
      <w:r w:rsidRPr="009A0CA9">
        <w:rPr>
          <w:rFonts w:ascii="Times New Roman" w:hAnsi="Times New Roman" w:cs="Times New Roman"/>
          <w:sz w:val="24"/>
          <w:szCs w:val="24"/>
          <w:lang w:val="en-ZW" w:eastAsia="en-US"/>
        </w:rPr>
        <w:t>herefore</w:t>
      </w:r>
      <w:r w:rsidR="00B2289B">
        <w:rPr>
          <w:rFonts w:ascii="Times New Roman" w:hAnsi="Times New Roman" w:cs="Times New Roman"/>
          <w:sz w:val="24"/>
          <w:szCs w:val="24"/>
          <w:lang w:val="en-ZW" w:eastAsia="en-US"/>
        </w:rPr>
        <w:t xml:space="preserve">, </w:t>
      </w:r>
      <w:r w:rsidRPr="009A0CA9">
        <w:rPr>
          <w:rFonts w:ascii="Times New Roman" w:hAnsi="Times New Roman" w:cs="Times New Roman"/>
          <w:sz w:val="24"/>
          <w:szCs w:val="24"/>
          <w:lang w:val="en-ZW" w:eastAsia="en-US"/>
        </w:rPr>
        <w:t>there is need for clarity on who the “other service providers” are</w:t>
      </w:r>
      <w:r w:rsidR="00545AD9">
        <w:rPr>
          <w:rFonts w:ascii="Times New Roman" w:hAnsi="Times New Roman" w:cs="Times New Roman"/>
          <w:sz w:val="24"/>
          <w:szCs w:val="24"/>
          <w:lang w:val="en-ZW" w:eastAsia="en-US"/>
        </w:rPr>
        <w:t xml:space="preserve"> </w:t>
      </w:r>
      <w:r w:rsidR="00BD3B7A" w:rsidRPr="009A0CA9">
        <w:rPr>
          <w:rFonts w:ascii="Times New Roman" w:hAnsi="Times New Roman" w:cs="Times New Roman"/>
          <w:sz w:val="24"/>
          <w:szCs w:val="24"/>
          <w:lang w:val="en-ZW" w:eastAsia="en-US"/>
        </w:rPr>
        <w:t>in</w:t>
      </w:r>
      <w:r w:rsidRPr="009A0CA9">
        <w:rPr>
          <w:rFonts w:ascii="Times New Roman" w:hAnsi="Times New Roman" w:cs="Times New Roman"/>
          <w:sz w:val="24"/>
          <w:szCs w:val="24"/>
          <w:lang w:val="en-ZW" w:eastAsia="en-US"/>
        </w:rPr>
        <w:t xml:space="preserve"> the Bill</w:t>
      </w:r>
      <w:r w:rsidR="00BD3B7A" w:rsidRPr="009A0CA9">
        <w:rPr>
          <w:rFonts w:ascii="Times New Roman" w:hAnsi="Times New Roman" w:cs="Times New Roman"/>
          <w:sz w:val="24"/>
          <w:szCs w:val="24"/>
          <w:lang w:val="en-ZW" w:eastAsia="en-US"/>
        </w:rPr>
        <w:t xml:space="preserve">. </w:t>
      </w:r>
    </w:p>
    <w:p w:rsidR="009A0CA9" w:rsidRPr="009A0CA9" w:rsidRDefault="00F13F97" w:rsidP="009A0CA9">
      <w:pPr>
        <w:pStyle w:val="ListParagraph"/>
        <w:numPr>
          <w:ilvl w:val="1"/>
          <w:numId w:val="9"/>
        </w:numPr>
        <w:spacing w:after="156" w:line="360" w:lineRule="auto"/>
        <w:ind w:left="567" w:hanging="567"/>
        <w:jc w:val="both"/>
        <w:rPr>
          <w:rFonts w:ascii="Times New Roman" w:eastAsia="Times New Roman" w:hAnsi="Times New Roman" w:cs="Times New Roman"/>
          <w:b/>
          <w:color w:val="000000"/>
          <w:sz w:val="24"/>
          <w:szCs w:val="24"/>
        </w:rPr>
      </w:pPr>
      <w:r w:rsidRPr="009A0CA9">
        <w:rPr>
          <w:rFonts w:ascii="Times New Roman" w:hAnsi="Times New Roman" w:cs="Times New Roman"/>
          <w:b/>
          <w:sz w:val="24"/>
          <w:szCs w:val="24"/>
          <w:lang w:val="en-ZW" w:eastAsia="en-US"/>
        </w:rPr>
        <w:t>Clause 5:</w:t>
      </w:r>
      <w:r w:rsidR="00BD3B7A" w:rsidRPr="009A0CA9">
        <w:rPr>
          <w:rFonts w:ascii="Times New Roman" w:hAnsi="Times New Roman" w:cs="Times New Roman"/>
          <w:b/>
          <w:sz w:val="24"/>
          <w:szCs w:val="24"/>
          <w:lang w:val="en-ZW" w:eastAsia="en-US"/>
        </w:rPr>
        <w:t xml:space="preserve"> </w:t>
      </w:r>
      <w:r w:rsidR="00BD3B7A" w:rsidRPr="009A0CA9">
        <w:rPr>
          <w:rFonts w:ascii="Times New Roman" w:hAnsi="Times New Roman" w:cs="Times New Roman"/>
          <w:sz w:val="24"/>
          <w:szCs w:val="24"/>
          <w:lang w:val="en-ZW" w:eastAsia="en-US"/>
        </w:rPr>
        <w:t>the provision amends Section</w:t>
      </w:r>
      <w:r w:rsidRPr="009A0CA9">
        <w:rPr>
          <w:rFonts w:ascii="Times New Roman" w:hAnsi="Times New Roman" w:cs="Times New Roman"/>
          <w:sz w:val="24"/>
          <w:szCs w:val="24"/>
          <w:lang w:val="en-ZW" w:eastAsia="en-US"/>
        </w:rPr>
        <w:t xml:space="preserve"> 5 of the Act by increasing the number of the board members that the Minister responsible may appoint from ‘five</w:t>
      </w:r>
      <w:r w:rsidR="00BD3B7A" w:rsidRPr="009A0CA9">
        <w:rPr>
          <w:rFonts w:ascii="Times New Roman" w:hAnsi="Times New Roman" w:cs="Times New Roman"/>
          <w:sz w:val="24"/>
          <w:szCs w:val="24"/>
          <w:lang w:val="en-ZW" w:eastAsia="en-US"/>
        </w:rPr>
        <w:t xml:space="preserve"> (5)</w:t>
      </w:r>
      <w:r w:rsidRPr="009A0CA9">
        <w:rPr>
          <w:rFonts w:ascii="Times New Roman" w:hAnsi="Times New Roman" w:cs="Times New Roman"/>
          <w:sz w:val="24"/>
          <w:szCs w:val="24"/>
          <w:lang w:val="en-ZW" w:eastAsia="en-US"/>
        </w:rPr>
        <w:t>’ to ‘seven</w:t>
      </w:r>
      <w:r w:rsidR="00BD3B7A" w:rsidRPr="009A0CA9">
        <w:rPr>
          <w:rFonts w:ascii="Times New Roman" w:hAnsi="Times New Roman" w:cs="Times New Roman"/>
          <w:sz w:val="24"/>
          <w:szCs w:val="24"/>
          <w:lang w:val="en-ZW" w:eastAsia="en-US"/>
        </w:rPr>
        <w:t xml:space="preserve"> (7)</w:t>
      </w:r>
      <w:r w:rsidRPr="009A0CA9">
        <w:rPr>
          <w:rFonts w:ascii="Times New Roman" w:hAnsi="Times New Roman" w:cs="Times New Roman"/>
          <w:sz w:val="24"/>
          <w:szCs w:val="24"/>
          <w:lang w:val="en-ZW" w:eastAsia="en-US"/>
        </w:rPr>
        <w:t xml:space="preserve">.’ </w:t>
      </w:r>
      <w:r w:rsidR="00BD3B7A" w:rsidRPr="009A0CA9">
        <w:rPr>
          <w:rFonts w:ascii="Times New Roman" w:eastAsia="Times New Roman" w:hAnsi="Times New Roman" w:cs="Times New Roman"/>
          <w:color w:val="000000"/>
          <w:sz w:val="24"/>
          <w:szCs w:val="24"/>
        </w:rPr>
        <w:t xml:space="preserve">The people welcomed this new proposal, particularly, the inclusion of </w:t>
      </w:r>
      <w:r w:rsidR="00BF2322" w:rsidRPr="009A0CA9">
        <w:rPr>
          <w:rFonts w:ascii="Times New Roman" w:eastAsia="Times New Roman" w:hAnsi="Times New Roman" w:cs="Times New Roman"/>
          <w:color w:val="000000"/>
          <w:sz w:val="24"/>
          <w:szCs w:val="24"/>
        </w:rPr>
        <w:t xml:space="preserve">their qualifications thereof, </w:t>
      </w:r>
      <w:r w:rsidR="00BF2322" w:rsidRPr="009A0CA9">
        <w:rPr>
          <w:rFonts w:ascii="Times New Roman" w:hAnsi="Times New Roman" w:cs="Times New Roman"/>
          <w:sz w:val="24"/>
          <w:szCs w:val="24"/>
          <w:lang w:val="en-ZW" w:eastAsia="en-US"/>
        </w:rPr>
        <w:t>in addition to knowledge and expertise in the industry. This provision is welcome as it will ensure diversification in terms of representation of the board members</w:t>
      </w:r>
      <w:r w:rsidR="00A71090" w:rsidRPr="009A0CA9">
        <w:rPr>
          <w:rFonts w:ascii="Times New Roman" w:hAnsi="Times New Roman" w:cs="Times New Roman"/>
          <w:sz w:val="24"/>
          <w:szCs w:val="24"/>
          <w:lang w:val="en-ZW" w:eastAsia="en-US"/>
        </w:rPr>
        <w:t xml:space="preserve"> as well as enhancing its capacity to exercise its mandate. The provision ensures that it addresses t</w:t>
      </w:r>
      <w:r w:rsidR="00BF2322" w:rsidRPr="009A0CA9">
        <w:rPr>
          <w:rFonts w:ascii="Times New Roman" w:hAnsi="Times New Roman" w:cs="Times New Roman"/>
          <w:sz w:val="24"/>
          <w:szCs w:val="24"/>
          <w:lang w:val="en-ZW" w:eastAsia="en-US"/>
        </w:rPr>
        <w:t xml:space="preserve">he need for adequacy and diversity of skills within the Commission.  </w:t>
      </w:r>
    </w:p>
    <w:p w:rsidR="009A0CA9" w:rsidRPr="009A0CA9" w:rsidRDefault="00BD3B7A" w:rsidP="009A0CA9">
      <w:pPr>
        <w:pStyle w:val="ListParagraph"/>
        <w:spacing w:after="156" w:line="360" w:lineRule="auto"/>
        <w:ind w:left="567"/>
        <w:jc w:val="both"/>
        <w:rPr>
          <w:rFonts w:ascii="Times New Roman" w:eastAsia="Times New Roman" w:hAnsi="Times New Roman" w:cs="Times New Roman"/>
          <w:b/>
          <w:color w:val="000000"/>
          <w:sz w:val="24"/>
          <w:szCs w:val="24"/>
        </w:rPr>
      </w:pPr>
      <w:r w:rsidRPr="009A0CA9">
        <w:rPr>
          <w:rFonts w:ascii="Times New Roman" w:eastAsia="Times New Roman" w:hAnsi="Times New Roman" w:cs="Times New Roman"/>
          <w:color w:val="000000"/>
          <w:sz w:val="24"/>
          <w:szCs w:val="24"/>
        </w:rPr>
        <w:t>H</w:t>
      </w:r>
      <w:r w:rsidR="000B5FAA" w:rsidRPr="009A0CA9">
        <w:rPr>
          <w:rFonts w:ascii="Times New Roman" w:eastAsia="Times New Roman" w:hAnsi="Times New Roman" w:cs="Times New Roman"/>
          <w:color w:val="000000"/>
          <w:sz w:val="24"/>
          <w:szCs w:val="24"/>
        </w:rPr>
        <w:t xml:space="preserve">owever, it was further suggested </w:t>
      </w:r>
      <w:r w:rsidRPr="009A0CA9">
        <w:rPr>
          <w:rFonts w:ascii="Times New Roman" w:eastAsia="Times New Roman" w:hAnsi="Times New Roman" w:cs="Times New Roman"/>
          <w:color w:val="000000"/>
          <w:sz w:val="24"/>
          <w:szCs w:val="24"/>
        </w:rPr>
        <w:t xml:space="preserve">that it was absolutely necessary to </w:t>
      </w:r>
      <w:r w:rsidR="00A71090" w:rsidRPr="009A0CA9">
        <w:rPr>
          <w:rFonts w:ascii="Times New Roman" w:eastAsia="Times New Roman" w:hAnsi="Times New Roman" w:cs="Times New Roman"/>
          <w:color w:val="000000"/>
          <w:sz w:val="24"/>
          <w:szCs w:val="24"/>
        </w:rPr>
        <w:t xml:space="preserve">review the composition of the board. The people urged </w:t>
      </w:r>
      <w:r w:rsidRPr="009A0CA9">
        <w:rPr>
          <w:rFonts w:ascii="Times New Roman" w:eastAsia="Times New Roman" w:hAnsi="Times New Roman" w:cs="Times New Roman"/>
          <w:color w:val="000000"/>
          <w:sz w:val="24"/>
          <w:szCs w:val="24"/>
        </w:rPr>
        <w:t xml:space="preserve">provide for the reservation of at least one </w:t>
      </w:r>
      <w:r w:rsidRPr="009A0CA9">
        <w:rPr>
          <w:rFonts w:ascii="Times New Roman" w:eastAsia="Times New Roman" w:hAnsi="Times New Roman" w:cs="Times New Roman"/>
          <w:color w:val="000000"/>
          <w:sz w:val="24"/>
          <w:szCs w:val="24"/>
        </w:rPr>
        <w:lastRenderedPageBreak/>
        <w:t xml:space="preserve">seat on the board of Commissioners for a “pensioner,” </w:t>
      </w:r>
      <w:r w:rsidR="00515C7C" w:rsidRPr="009A0CA9">
        <w:rPr>
          <w:rFonts w:ascii="Times New Roman" w:eastAsia="Times New Roman" w:hAnsi="Times New Roman" w:cs="Times New Roman"/>
          <w:color w:val="000000"/>
          <w:sz w:val="24"/>
          <w:szCs w:val="24"/>
        </w:rPr>
        <w:t xml:space="preserve">who </w:t>
      </w:r>
      <w:r w:rsidRPr="009A0CA9">
        <w:rPr>
          <w:rFonts w:ascii="Times New Roman" w:eastAsia="Times New Roman" w:hAnsi="Times New Roman" w:cs="Times New Roman"/>
          <w:color w:val="000000"/>
          <w:sz w:val="24"/>
          <w:szCs w:val="24"/>
        </w:rPr>
        <w:t xml:space="preserve">will then </w:t>
      </w:r>
      <w:r w:rsidR="00515C7C" w:rsidRPr="009A0CA9">
        <w:rPr>
          <w:rFonts w:ascii="Times New Roman" w:eastAsia="Times New Roman" w:hAnsi="Times New Roman" w:cs="Times New Roman"/>
          <w:color w:val="000000"/>
          <w:sz w:val="24"/>
          <w:szCs w:val="24"/>
        </w:rPr>
        <w:t xml:space="preserve">ensure that the </w:t>
      </w:r>
      <w:r w:rsidRPr="009A0CA9">
        <w:rPr>
          <w:rFonts w:ascii="Times New Roman" w:eastAsia="Times New Roman" w:hAnsi="Times New Roman" w:cs="Times New Roman"/>
          <w:color w:val="000000"/>
          <w:sz w:val="24"/>
          <w:szCs w:val="24"/>
        </w:rPr>
        <w:t xml:space="preserve">interests of </w:t>
      </w:r>
      <w:r w:rsidR="00515C7C" w:rsidRPr="009A0CA9">
        <w:rPr>
          <w:rFonts w:ascii="Times New Roman" w:eastAsia="Times New Roman" w:hAnsi="Times New Roman" w:cs="Times New Roman"/>
          <w:color w:val="000000"/>
          <w:sz w:val="24"/>
          <w:szCs w:val="24"/>
        </w:rPr>
        <w:t xml:space="preserve">other pensioners are represented in the Board. </w:t>
      </w:r>
    </w:p>
    <w:p w:rsidR="009A0CA9" w:rsidRPr="009A0CA9" w:rsidRDefault="00F13F97" w:rsidP="009A0CA9">
      <w:pPr>
        <w:pStyle w:val="ListParagraph"/>
        <w:numPr>
          <w:ilvl w:val="1"/>
          <w:numId w:val="9"/>
        </w:numPr>
        <w:spacing w:after="156" w:line="360" w:lineRule="auto"/>
        <w:ind w:left="567" w:hanging="567"/>
        <w:jc w:val="both"/>
        <w:rPr>
          <w:rFonts w:ascii="Times New Roman" w:eastAsia="Times New Roman" w:hAnsi="Times New Roman" w:cs="Times New Roman"/>
          <w:b/>
          <w:color w:val="000000"/>
          <w:sz w:val="24"/>
          <w:szCs w:val="24"/>
        </w:rPr>
      </w:pPr>
      <w:r w:rsidRPr="009A0CA9">
        <w:rPr>
          <w:rFonts w:ascii="Times New Roman" w:hAnsi="Times New Roman" w:cs="Times New Roman"/>
          <w:b/>
          <w:sz w:val="24"/>
          <w:szCs w:val="24"/>
          <w:lang w:val="en-ZW" w:eastAsia="en-US"/>
        </w:rPr>
        <w:t xml:space="preserve">Clause 6: </w:t>
      </w:r>
      <w:r w:rsidR="000B5FAA" w:rsidRPr="009A0CA9">
        <w:rPr>
          <w:rFonts w:ascii="Times New Roman" w:hAnsi="Times New Roman" w:cs="Times New Roman"/>
          <w:sz w:val="24"/>
          <w:szCs w:val="24"/>
          <w:lang w:val="en-ZW" w:eastAsia="en-US"/>
        </w:rPr>
        <w:t xml:space="preserve">this provision </w:t>
      </w:r>
      <w:r w:rsidRPr="009A0CA9">
        <w:rPr>
          <w:rFonts w:ascii="Times New Roman" w:hAnsi="Times New Roman" w:cs="Times New Roman"/>
          <w:sz w:val="24"/>
          <w:szCs w:val="24"/>
          <w:lang w:val="en-ZW" w:eastAsia="en-US"/>
        </w:rPr>
        <w:t xml:space="preserve">seeks to address issues of conflict of interest by disqualifying anyone who is directly or indirectly involved in the sector. A new insertion is also added, which defines </w:t>
      </w:r>
      <w:r w:rsidRPr="009A0CA9">
        <w:rPr>
          <w:rFonts w:ascii="Times New Roman" w:hAnsi="Times New Roman" w:cs="Times New Roman"/>
          <w:i/>
          <w:sz w:val="24"/>
          <w:szCs w:val="24"/>
          <w:lang w:val="en-ZW" w:eastAsia="en-US"/>
        </w:rPr>
        <w:t xml:space="preserve">‘conflict of interest’ </w:t>
      </w:r>
      <w:r w:rsidRPr="009A0CA9">
        <w:rPr>
          <w:rFonts w:ascii="Times New Roman" w:hAnsi="Times New Roman" w:cs="Times New Roman"/>
          <w:sz w:val="24"/>
          <w:szCs w:val="24"/>
          <w:lang w:val="en-ZW" w:eastAsia="en-US"/>
        </w:rPr>
        <w:t xml:space="preserve">in the sector. This provision </w:t>
      </w:r>
      <w:r w:rsidR="00A71090" w:rsidRPr="009A0CA9">
        <w:rPr>
          <w:rFonts w:ascii="Times New Roman" w:hAnsi="Times New Roman" w:cs="Times New Roman"/>
          <w:sz w:val="24"/>
          <w:szCs w:val="24"/>
          <w:lang w:val="en-ZW" w:eastAsia="en-US"/>
        </w:rPr>
        <w:t xml:space="preserve">was welcomed by the Committee as it </w:t>
      </w:r>
      <w:r w:rsidRPr="009A0CA9">
        <w:rPr>
          <w:rFonts w:ascii="Times New Roman" w:hAnsi="Times New Roman" w:cs="Times New Roman"/>
          <w:sz w:val="24"/>
          <w:szCs w:val="24"/>
          <w:lang w:val="en-ZW" w:eastAsia="en-US"/>
        </w:rPr>
        <w:t xml:space="preserve">seeks to enhance good corporate </w:t>
      </w:r>
      <w:r w:rsidR="000B5FAA" w:rsidRPr="009A0CA9">
        <w:rPr>
          <w:rFonts w:ascii="Times New Roman" w:hAnsi="Times New Roman" w:cs="Times New Roman"/>
          <w:sz w:val="24"/>
          <w:szCs w:val="24"/>
          <w:lang w:val="en-ZW" w:eastAsia="en-US"/>
        </w:rPr>
        <w:t xml:space="preserve">governance in the industry.  </w:t>
      </w:r>
    </w:p>
    <w:p w:rsidR="009A0CA9" w:rsidRPr="00545AD9" w:rsidRDefault="00162DCD" w:rsidP="009A0CA9">
      <w:pPr>
        <w:pStyle w:val="ListParagraph"/>
        <w:numPr>
          <w:ilvl w:val="1"/>
          <w:numId w:val="9"/>
        </w:numPr>
        <w:spacing w:after="156" w:line="360" w:lineRule="auto"/>
        <w:ind w:left="567" w:hanging="567"/>
        <w:jc w:val="both"/>
        <w:rPr>
          <w:rFonts w:ascii="Times New Roman" w:eastAsia="Times New Roman" w:hAnsi="Times New Roman" w:cs="Times New Roman"/>
          <w:b/>
          <w:color w:val="000000" w:themeColor="text1"/>
          <w:sz w:val="24"/>
          <w:szCs w:val="24"/>
        </w:rPr>
      </w:pPr>
      <w:r w:rsidRPr="00545AD9">
        <w:rPr>
          <w:rFonts w:ascii="Times New Roman" w:hAnsi="Times New Roman" w:cs="Times New Roman"/>
          <w:b/>
          <w:color w:val="000000" w:themeColor="text1"/>
          <w:sz w:val="24"/>
          <w:szCs w:val="24"/>
          <w:lang w:val="en-ZW" w:eastAsia="en-US"/>
        </w:rPr>
        <w:t>Clause 7</w:t>
      </w:r>
      <w:r w:rsidRPr="00545AD9">
        <w:rPr>
          <w:rFonts w:ascii="Times New Roman" w:hAnsi="Times New Roman" w:cs="Times New Roman"/>
          <w:color w:val="000000" w:themeColor="text1"/>
          <w:sz w:val="24"/>
          <w:szCs w:val="24"/>
          <w:lang w:val="en-ZW" w:eastAsia="en-US"/>
        </w:rPr>
        <w:t xml:space="preserve"> </w:t>
      </w:r>
      <w:r w:rsidR="00F13F97" w:rsidRPr="00545AD9">
        <w:rPr>
          <w:rFonts w:ascii="Times New Roman" w:hAnsi="Times New Roman" w:cs="Times New Roman"/>
          <w:color w:val="000000" w:themeColor="text1"/>
          <w:sz w:val="24"/>
          <w:szCs w:val="24"/>
          <w:lang w:val="en-ZW" w:eastAsia="en-US"/>
        </w:rPr>
        <w:t>amends S</w:t>
      </w:r>
      <w:r w:rsidRPr="00545AD9">
        <w:rPr>
          <w:rFonts w:ascii="Times New Roman" w:hAnsi="Times New Roman" w:cs="Times New Roman"/>
          <w:color w:val="000000" w:themeColor="text1"/>
          <w:sz w:val="24"/>
          <w:szCs w:val="24"/>
          <w:lang w:val="en-ZW" w:eastAsia="en-US"/>
        </w:rPr>
        <w:t xml:space="preserve">ection 7 of the </w:t>
      </w:r>
      <w:r w:rsidR="00581AB0" w:rsidRPr="00545AD9">
        <w:rPr>
          <w:rFonts w:ascii="Times New Roman" w:hAnsi="Times New Roman" w:cs="Times New Roman"/>
          <w:color w:val="000000" w:themeColor="text1"/>
          <w:sz w:val="24"/>
          <w:szCs w:val="24"/>
          <w:lang w:val="en-ZW" w:eastAsia="en-US"/>
        </w:rPr>
        <w:t>p</w:t>
      </w:r>
      <w:r w:rsidRPr="00545AD9">
        <w:rPr>
          <w:rFonts w:ascii="Times New Roman" w:hAnsi="Times New Roman" w:cs="Times New Roman"/>
          <w:color w:val="000000" w:themeColor="text1"/>
          <w:sz w:val="24"/>
          <w:szCs w:val="24"/>
          <w:lang w:val="en-ZW" w:eastAsia="en-US"/>
        </w:rPr>
        <w:t xml:space="preserve">rincipal </w:t>
      </w:r>
      <w:r w:rsidR="00581AB0" w:rsidRPr="00545AD9">
        <w:rPr>
          <w:rFonts w:ascii="Times New Roman" w:hAnsi="Times New Roman" w:cs="Times New Roman"/>
          <w:color w:val="000000" w:themeColor="text1"/>
          <w:sz w:val="24"/>
          <w:szCs w:val="24"/>
          <w:lang w:val="en-ZW" w:eastAsia="en-US"/>
        </w:rPr>
        <w:t>a</w:t>
      </w:r>
      <w:r w:rsidR="00EE38CA" w:rsidRPr="00545AD9">
        <w:rPr>
          <w:rFonts w:ascii="Times New Roman" w:hAnsi="Times New Roman" w:cs="Times New Roman"/>
          <w:color w:val="000000" w:themeColor="text1"/>
          <w:sz w:val="24"/>
          <w:szCs w:val="24"/>
          <w:lang w:val="en-ZW" w:eastAsia="en-US"/>
        </w:rPr>
        <w:t xml:space="preserve">ct to </w:t>
      </w:r>
      <w:r w:rsidR="00F13F97" w:rsidRPr="00545AD9">
        <w:rPr>
          <w:rFonts w:ascii="Times New Roman" w:hAnsi="Times New Roman" w:cs="Times New Roman"/>
          <w:color w:val="000000" w:themeColor="text1"/>
          <w:sz w:val="24"/>
          <w:szCs w:val="24"/>
          <w:lang w:val="en-ZW" w:eastAsia="en-US"/>
        </w:rPr>
        <w:t>increase</w:t>
      </w:r>
      <w:r w:rsidRPr="00545AD9">
        <w:rPr>
          <w:rFonts w:ascii="Times New Roman" w:hAnsi="Times New Roman" w:cs="Times New Roman"/>
          <w:color w:val="000000" w:themeColor="text1"/>
          <w:sz w:val="24"/>
          <w:szCs w:val="24"/>
          <w:lang w:val="en-ZW" w:eastAsia="en-US"/>
        </w:rPr>
        <w:t>s</w:t>
      </w:r>
      <w:r w:rsidR="00F13F97" w:rsidRPr="00545AD9">
        <w:rPr>
          <w:rFonts w:ascii="Times New Roman" w:hAnsi="Times New Roman" w:cs="Times New Roman"/>
          <w:color w:val="000000" w:themeColor="text1"/>
          <w:sz w:val="24"/>
          <w:szCs w:val="24"/>
          <w:lang w:val="en-ZW" w:eastAsia="en-US"/>
        </w:rPr>
        <w:t xml:space="preserve"> the number of years an appointed member may serve the board from the current ‘</w:t>
      </w:r>
      <w:r w:rsidR="00F13F97" w:rsidRPr="00545AD9">
        <w:rPr>
          <w:rFonts w:ascii="Times New Roman" w:hAnsi="Times New Roman" w:cs="Times New Roman"/>
          <w:i/>
          <w:color w:val="000000" w:themeColor="text1"/>
          <w:sz w:val="24"/>
          <w:szCs w:val="24"/>
          <w:lang w:val="en-ZW" w:eastAsia="en-US"/>
        </w:rPr>
        <w:t>three’</w:t>
      </w:r>
      <w:r w:rsidR="00F13F97" w:rsidRPr="00545AD9">
        <w:rPr>
          <w:rFonts w:ascii="Times New Roman" w:hAnsi="Times New Roman" w:cs="Times New Roman"/>
          <w:color w:val="000000" w:themeColor="text1"/>
          <w:sz w:val="24"/>
          <w:szCs w:val="24"/>
          <w:lang w:val="en-ZW" w:eastAsia="en-US"/>
        </w:rPr>
        <w:t xml:space="preserve"> to </w:t>
      </w:r>
      <w:r w:rsidR="00F13F97" w:rsidRPr="00545AD9">
        <w:rPr>
          <w:rFonts w:ascii="Times New Roman" w:hAnsi="Times New Roman" w:cs="Times New Roman"/>
          <w:i/>
          <w:color w:val="000000" w:themeColor="text1"/>
          <w:sz w:val="24"/>
          <w:szCs w:val="24"/>
          <w:lang w:val="en-ZW" w:eastAsia="en-US"/>
        </w:rPr>
        <w:t>‘four’</w:t>
      </w:r>
      <w:r w:rsidR="00F13F97" w:rsidRPr="00545AD9">
        <w:rPr>
          <w:rFonts w:ascii="Times New Roman" w:hAnsi="Times New Roman" w:cs="Times New Roman"/>
          <w:color w:val="000000" w:themeColor="text1"/>
          <w:sz w:val="24"/>
          <w:szCs w:val="24"/>
          <w:lang w:val="en-ZW" w:eastAsia="en-US"/>
        </w:rPr>
        <w:t xml:space="preserve"> years and to specify the eligibility criteria for re-appointment in line with the Public Ent</w:t>
      </w:r>
      <w:r w:rsidR="00517343" w:rsidRPr="00545AD9">
        <w:rPr>
          <w:rFonts w:ascii="Times New Roman" w:hAnsi="Times New Roman" w:cs="Times New Roman"/>
          <w:color w:val="000000" w:themeColor="text1"/>
          <w:sz w:val="24"/>
          <w:szCs w:val="24"/>
          <w:lang w:val="en-ZW" w:eastAsia="en-US"/>
        </w:rPr>
        <w:t xml:space="preserve">ities Corporate Governance Act </w:t>
      </w:r>
      <w:r w:rsidR="00F13F97" w:rsidRPr="00545AD9">
        <w:rPr>
          <w:rFonts w:ascii="Times New Roman" w:hAnsi="Times New Roman" w:cs="Times New Roman"/>
          <w:color w:val="000000" w:themeColor="text1"/>
          <w:sz w:val="24"/>
          <w:szCs w:val="24"/>
          <w:lang w:val="en-ZW" w:eastAsia="en-US"/>
        </w:rPr>
        <w:t>Chapter 10:31). Subsection 4 of the principal Act is also amended</w:t>
      </w:r>
      <w:r w:rsidR="00517343" w:rsidRPr="00545AD9">
        <w:rPr>
          <w:rFonts w:ascii="Times New Roman" w:hAnsi="Times New Roman" w:cs="Times New Roman"/>
          <w:color w:val="000000" w:themeColor="text1"/>
          <w:sz w:val="24"/>
          <w:szCs w:val="24"/>
          <w:lang w:val="en-ZW" w:eastAsia="en-US"/>
        </w:rPr>
        <w:t xml:space="preserve"> to comply with the Public Entities Corporate Governance Act which provides that allow</w:t>
      </w:r>
      <w:r w:rsidR="00F13F97" w:rsidRPr="00545AD9">
        <w:rPr>
          <w:rFonts w:ascii="Times New Roman" w:hAnsi="Times New Roman" w:cs="Times New Roman"/>
          <w:color w:val="000000" w:themeColor="text1"/>
          <w:sz w:val="24"/>
          <w:szCs w:val="24"/>
          <w:lang w:val="en-ZW" w:eastAsia="en-US"/>
        </w:rPr>
        <w:t xml:space="preserve"> </w:t>
      </w:r>
      <w:r w:rsidR="00EE38CA" w:rsidRPr="00545AD9">
        <w:rPr>
          <w:rFonts w:ascii="Times New Roman" w:hAnsi="Times New Roman" w:cs="Times New Roman"/>
          <w:color w:val="000000" w:themeColor="text1"/>
          <w:sz w:val="24"/>
          <w:szCs w:val="24"/>
          <w:lang w:val="en-ZW" w:eastAsia="en-US"/>
        </w:rPr>
        <w:t xml:space="preserve">a Board Member can </w:t>
      </w:r>
      <w:r w:rsidR="009F74B6" w:rsidRPr="00545AD9">
        <w:rPr>
          <w:rFonts w:ascii="Times New Roman" w:hAnsi="Times New Roman" w:cs="Times New Roman"/>
          <w:color w:val="000000" w:themeColor="text1"/>
          <w:sz w:val="24"/>
          <w:szCs w:val="24"/>
          <w:lang w:val="en-ZW" w:eastAsia="en-US"/>
        </w:rPr>
        <w:t xml:space="preserve">only </w:t>
      </w:r>
      <w:r w:rsidR="00EE38CA" w:rsidRPr="00545AD9">
        <w:rPr>
          <w:rFonts w:ascii="Times New Roman" w:hAnsi="Times New Roman" w:cs="Times New Roman"/>
          <w:color w:val="000000" w:themeColor="text1"/>
          <w:sz w:val="24"/>
          <w:szCs w:val="24"/>
          <w:lang w:val="en-ZW" w:eastAsia="en-US"/>
        </w:rPr>
        <w:t xml:space="preserve">serve for 4 years and be eligible for </w:t>
      </w:r>
      <w:r w:rsidR="009F74B6" w:rsidRPr="00545AD9">
        <w:rPr>
          <w:rFonts w:ascii="Times New Roman" w:hAnsi="Times New Roman" w:cs="Times New Roman"/>
          <w:color w:val="000000" w:themeColor="text1"/>
          <w:sz w:val="24"/>
          <w:szCs w:val="24"/>
          <w:lang w:val="en-ZW" w:eastAsia="en-US"/>
        </w:rPr>
        <w:t xml:space="preserve">re-appointment </w:t>
      </w:r>
      <w:r w:rsidR="00EE38CA" w:rsidRPr="00545AD9">
        <w:rPr>
          <w:rFonts w:ascii="Times New Roman" w:hAnsi="Times New Roman" w:cs="Times New Roman"/>
          <w:color w:val="000000" w:themeColor="text1"/>
          <w:sz w:val="24"/>
          <w:szCs w:val="24"/>
          <w:lang w:val="en-ZW" w:eastAsia="en-US"/>
        </w:rPr>
        <w:t xml:space="preserve">only one </w:t>
      </w:r>
      <w:r w:rsidR="009F74B6" w:rsidRPr="00545AD9">
        <w:rPr>
          <w:rFonts w:ascii="Times New Roman" w:hAnsi="Times New Roman" w:cs="Times New Roman"/>
          <w:color w:val="000000" w:themeColor="text1"/>
          <w:sz w:val="24"/>
          <w:szCs w:val="24"/>
          <w:lang w:val="en-ZW" w:eastAsia="en-US"/>
        </w:rPr>
        <w:t xml:space="preserve">more </w:t>
      </w:r>
      <w:r w:rsidR="00EE38CA" w:rsidRPr="00545AD9">
        <w:rPr>
          <w:rFonts w:ascii="Times New Roman" w:hAnsi="Times New Roman" w:cs="Times New Roman"/>
          <w:color w:val="000000" w:themeColor="text1"/>
          <w:sz w:val="24"/>
          <w:szCs w:val="24"/>
          <w:lang w:val="en-ZW" w:eastAsia="en-US"/>
        </w:rPr>
        <w:t>term</w:t>
      </w:r>
      <w:r w:rsidR="009F74B6" w:rsidRPr="00545AD9">
        <w:rPr>
          <w:rFonts w:ascii="Times New Roman" w:hAnsi="Times New Roman" w:cs="Times New Roman"/>
          <w:color w:val="000000" w:themeColor="text1"/>
          <w:sz w:val="24"/>
          <w:szCs w:val="24"/>
          <w:lang w:val="en-ZW" w:eastAsia="en-US"/>
        </w:rPr>
        <w:t xml:space="preserve">. </w:t>
      </w:r>
      <w:r w:rsidRPr="00545AD9">
        <w:rPr>
          <w:rFonts w:ascii="Times New Roman" w:hAnsi="Times New Roman" w:cs="Times New Roman"/>
          <w:color w:val="000000" w:themeColor="text1"/>
          <w:sz w:val="24"/>
          <w:szCs w:val="24"/>
          <w:lang w:val="en-ZW" w:eastAsia="en-US"/>
        </w:rPr>
        <w:t>Thus, the Committee welcome</w:t>
      </w:r>
      <w:r w:rsidR="009F74B6" w:rsidRPr="00545AD9">
        <w:rPr>
          <w:rFonts w:ascii="Times New Roman" w:hAnsi="Times New Roman" w:cs="Times New Roman"/>
          <w:color w:val="000000" w:themeColor="text1"/>
          <w:sz w:val="24"/>
          <w:szCs w:val="24"/>
          <w:lang w:val="en-ZW" w:eastAsia="en-US"/>
        </w:rPr>
        <w:t>s</w:t>
      </w:r>
      <w:r w:rsidRPr="00545AD9">
        <w:rPr>
          <w:rFonts w:ascii="Times New Roman" w:hAnsi="Times New Roman" w:cs="Times New Roman"/>
          <w:color w:val="000000" w:themeColor="text1"/>
          <w:sz w:val="24"/>
          <w:szCs w:val="24"/>
          <w:lang w:val="en-ZW" w:eastAsia="en-US"/>
        </w:rPr>
        <w:t xml:space="preserve"> these new </w:t>
      </w:r>
      <w:r w:rsidR="00F13F97" w:rsidRPr="00545AD9">
        <w:rPr>
          <w:rFonts w:ascii="Times New Roman" w:hAnsi="Times New Roman" w:cs="Times New Roman"/>
          <w:color w:val="000000" w:themeColor="text1"/>
          <w:sz w:val="24"/>
          <w:szCs w:val="24"/>
          <w:lang w:val="en-ZW" w:eastAsia="en-US"/>
        </w:rPr>
        <w:t xml:space="preserve">provisions </w:t>
      </w:r>
      <w:r w:rsidR="009F74B6" w:rsidRPr="00545AD9">
        <w:rPr>
          <w:rFonts w:ascii="Times New Roman" w:hAnsi="Times New Roman" w:cs="Times New Roman"/>
          <w:color w:val="000000" w:themeColor="text1"/>
          <w:sz w:val="24"/>
          <w:szCs w:val="24"/>
          <w:lang w:val="en-ZW" w:eastAsia="en-US"/>
        </w:rPr>
        <w:t xml:space="preserve">which strengthens </w:t>
      </w:r>
      <w:r w:rsidR="00F13F97" w:rsidRPr="00545AD9">
        <w:rPr>
          <w:rFonts w:ascii="Times New Roman" w:hAnsi="Times New Roman" w:cs="Times New Roman"/>
          <w:color w:val="000000" w:themeColor="text1"/>
          <w:sz w:val="24"/>
          <w:szCs w:val="24"/>
          <w:lang w:val="en-ZW" w:eastAsia="en-US"/>
        </w:rPr>
        <w:t xml:space="preserve">corporate governance practices in the pension and insurance industry for the benefit of the sector. </w:t>
      </w:r>
    </w:p>
    <w:p w:rsidR="009A0CA9" w:rsidRPr="009A0CA9" w:rsidRDefault="00581AB0" w:rsidP="009A0CA9">
      <w:pPr>
        <w:pStyle w:val="ListParagraph"/>
        <w:numPr>
          <w:ilvl w:val="1"/>
          <w:numId w:val="9"/>
        </w:numPr>
        <w:spacing w:after="156" w:line="360" w:lineRule="auto"/>
        <w:ind w:left="567" w:hanging="567"/>
        <w:jc w:val="both"/>
        <w:rPr>
          <w:rFonts w:ascii="Times New Roman" w:eastAsia="Times New Roman" w:hAnsi="Times New Roman" w:cs="Times New Roman"/>
          <w:b/>
          <w:color w:val="000000"/>
          <w:sz w:val="24"/>
          <w:szCs w:val="24"/>
        </w:rPr>
      </w:pPr>
      <w:r w:rsidRPr="009A0CA9">
        <w:rPr>
          <w:rFonts w:ascii="Times New Roman" w:hAnsi="Times New Roman" w:cs="Times New Roman"/>
          <w:b/>
          <w:sz w:val="24"/>
          <w:szCs w:val="24"/>
          <w:lang w:val="en-ZW" w:eastAsia="en-US"/>
        </w:rPr>
        <w:t xml:space="preserve">Clause 8 </w:t>
      </w:r>
      <w:r w:rsidRPr="009A0CA9">
        <w:rPr>
          <w:rFonts w:ascii="Times New Roman" w:hAnsi="Times New Roman" w:cs="Times New Roman"/>
          <w:sz w:val="24"/>
          <w:szCs w:val="24"/>
          <w:lang w:val="en-ZW" w:eastAsia="en-US"/>
        </w:rPr>
        <w:t xml:space="preserve">amends </w:t>
      </w:r>
      <w:r w:rsidR="00F13F97" w:rsidRPr="009A0CA9">
        <w:rPr>
          <w:rFonts w:ascii="Times New Roman" w:hAnsi="Times New Roman" w:cs="Times New Roman"/>
          <w:sz w:val="24"/>
          <w:szCs w:val="24"/>
          <w:lang w:val="en-ZW" w:eastAsia="en-US"/>
        </w:rPr>
        <w:t xml:space="preserve">section 13 </w:t>
      </w:r>
      <w:r w:rsidRPr="009A0CA9">
        <w:rPr>
          <w:rFonts w:ascii="Times New Roman" w:hAnsi="Times New Roman" w:cs="Times New Roman"/>
          <w:sz w:val="24"/>
          <w:szCs w:val="24"/>
          <w:lang w:val="en-ZW" w:eastAsia="en-US"/>
        </w:rPr>
        <w:t xml:space="preserve">of the principal act </w:t>
      </w:r>
      <w:r w:rsidR="00F13F97" w:rsidRPr="009A0CA9">
        <w:rPr>
          <w:rFonts w:ascii="Times New Roman" w:hAnsi="Times New Roman" w:cs="Times New Roman"/>
          <w:sz w:val="24"/>
          <w:szCs w:val="24"/>
          <w:lang w:val="en-ZW" w:eastAsia="en-US"/>
        </w:rPr>
        <w:t xml:space="preserve">by deleting </w:t>
      </w:r>
      <w:r w:rsidR="00F13F97" w:rsidRPr="009A0CA9">
        <w:rPr>
          <w:rFonts w:ascii="Times New Roman" w:hAnsi="Times New Roman" w:cs="Times New Roman"/>
          <w:i/>
          <w:sz w:val="24"/>
          <w:szCs w:val="24"/>
          <w:lang w:val="en-ZW" w:eastAsia="en-US"/>
        </w:rPr>
        <w:t>‘two members’</w:t>
      </w:r>
      <w:r w:rsidR="00F13F97" w:rsidRPr="009A0CA9">
        <w:rPr>
          <w:rFonts w:ascii="Times New Roman" w:hAnsi="Times New Roman" w:cs="Times New Roman"/>
          <w:sz w:val="24"/>
          <w:szCs w:val="24"/>
          <w:lang w:val="en-ZW" w:eastAsia="en-US"/>
        </w:rPr>
        <w:t xml:space="preserve"> and substitute with </w:t>
      </w:r>
      <w:r w:rsidR="00F13F97" w:rsidRPr="009A0CA9">
        <w:rPr>
          <w:rFonts w:ascii="Times New Roman" w:hAnsi="Times New Roman" w:cs="Times New Roman"/>
          <w:i/>
          <w:sz w:val="24"/>
          <w:szCs w:val="24"/>
          <w:lang w:val="en-ZW" w:eastAsia="en-US"/>
        </w:rPr>
        <w:t>‘two thirds of members’</w:t>
      </w:r>
      <w:r w:rsidR="00F13F97" w:rsidRPr="009A0CA9">
        <w:rPr>
          <w:rFonts w:ascii="Times New Roman" w:hAnsi="Times New Roman" w:cs="Times New Roman"/>
          <w:sz w:val="24"/>
          <w:szCs w:val="24"/>
          <w:lang w:val="en-ZW" w:eastAsia="en-US"/>
        </w:rPr>
        <w:t xml:space="preserve"> in line with the increased number from five to seven members. </w:t>
      </w:r>
      <w:r w:rsidR="002B5FA6" w:rsidRPr="009A0CA9">
        <w:rPr>
          <w:rFonts w:ascii="Times New Roman" w:hAnsi="Times New Roman" w:cs="Times New Roman"/>
          <w:sz w:val="24"/>
          <w:szCs w:val="24"/>
          <w:lang w:val="en-ZW" w:eastAsia="en-US"/>
        </w:rPr>
        <w:t xml:space="preserve">The Committee </w:t>
      </w:r>
      <w:r w:rsidR="002D2354">
        <w:rPr>
          <w:rFonts w:ascii="Times New Roman" w:hAnsi="Times New Roman" w:cs="Times New Roman"/>
          <w:sz w:val="24"/>
          <w:szCs w:val="24"/>
          <w:lang w:val="en-ZW" w:eastAsia="en-US"/>
        </w:rPr>
        <w:t xml:space="preserve">and members of the public </w:t>
      </w:r>
      <w:r w:rsidR="002B5FA6" w:rsidRPr="009A0CA9">
        <w:rPr>
          <w:rFonts w:ascii="Times New Roman" w:hAnsi="Times New Roman" w:cs="Times New Roman"/>
          <w:sz w:val="24"/>
          <w:szCs w:val="24"/>
          <w:lang w:val="en-ZW" w:eastAsia="en-US"/>
        </w:rPr>
        <w:t xml:space="preserve">welcomed this provision as it allows a wider consultation of members of the Board, especially in terms of representation. </w:t>
      </w:r>
    </w:p>
    <w:p w:rsidR="009A0CA9" w:rsidRPr="009A0CA9" w:rsidRDefault="002B5FA6" w:rsidP="009A0CA9">
      <w:pPr>
        <w:pStyle w:val="ListParagraph"/>
        <w:numPr>
          <w:ilvl w:val="1"/>
          <w:numId w:val="9"/>
        </w:numPr>
        <w:spacing w:after="156" w:line="360" w:lineRule="auto"/>
        <w:ind w:left="567" w:hanging="567"/>
        <w:jc w:val="both"/>
        <w:rPr>
          <w:rFonts w:ascii="Times New Roman" w:eastAsia="Times New Roman" w:hAnsi="Times New Roman" w:cs="Times New Roman"/>
          <w:b/>
          <w:color w:val="000000"/>
          <w:sz w:val="24"/>
          <w:szCs w:val="24"/>
        </w:rPr>
      </w:pPr>
      <w:r w:rsidRPr="009A0CA9">
        <w:rPr>
          <w:rFonts w:ascii="Times New Roman" w:hAnsi="Times New Roman" w:cs="Times New Roman"/>
          <w:b/>
          <w:sz w:val="24"/>
          <w:szCs w:val="24"/>
          <w:lang w:val="en-ZW" w:eastAsia="en-US"/>
        </w:rPr>
        <w:t xml:space="preserve">Clause 9 </w:t>
      </w:r>
      <w:r w:rsidR="00F13F97" w:rsidRPr="009A0CA9">
        <w:rPr>
          <w:rFonts w:ascii="Times New Roman" w:hAnsi="Times New Roman" w:cs="Times New Roman"/>
          <w:sz w:val="24"/>
          <w:szCs w:val="24"/>
          <w:lang w:val="en-ZW" w:eastAsia="en-US"/>
        </w:rPr>
        <w:t xml:space="preserve">amends Section 14 </w:t>
      </w:r>
      <w:r w:rsidRPr="009A0CA9">
        <w:rPr>
          <w:rFonts w:ascii="Times New Roman" w:hAnsi="Times New Roman" w:cs="Times New Roman"/>
          <w:sz w:val="24"/>
          <w:szCs w:val="24"/>
          <w:lang w:val="en-ZW" w:eastAsia="en-US"/>
        </w:rPr>
        <w:t xml:space="preserve">of the Act </w:t>
      </w:r>
      <w:r w:rsidR="00F13F97" w:rsidRPr="009A0CA9">
        <w:rPr>
          <w:rFonts w:ascii="Times New Roman" w:hAnsi="Times New Roman" w:cs="Times New Roman"/>
          <w:sz w:val="24"/>
          <w:szCs w:val="24"/>
          <w:lang w:val="en-ZW" w:eastAsia="en-US"/>
        </w:rPr>
        <w:t xml:space="preserve">by increasing the number of committees the board may establish from ‘one or more’ to ‘two or more.’ </w:t>
      </w:r>
      <w:r w:rsidR="00B84BFB" w:rsidRPr="009A0CA9">
        <w:rPr>
          <w:rFonts w:ascii="Times New Roman" w:hAnsi="Times New Roman" w:cs="Times New Roman"/>
          <w:sz w:val="24"/>
          <w:szCs w:val="24"/>
          <w:lang w:val="en-ZW" w:eastAsia="en-US"/>
        </w:rPr>
        <w:t>However, t</w:t>
      </w:r>
      <w:r w:rsidRPr="009A0CA9">
        <w:rPr>
          <w:rFonts w:ascii="Times New Roman" w:eastAsia="Times New Roman" w:hAnsi="Times New Roman" w:cs="Times New Roman"/>
          <w:color w:val="000000"/>
          <w:sz w:val="24"/>
          <w:szCs w:val="24"/>
        </w:rPr>
        <w:t>he people noted with concern the provision of compelling the Board to appoint at least two committees but highlighted that the clause failed to specify the roles and duties of these two appointed committees. It was therefore recommended that, for the avoidance of doubt, the functions of the two Committees should be made clear in the Bill.</w:t>
      </w:r>
      <w:r w:rsidRPr="009A0CA9">
        <w:rPr>
          <w:rFonts w:ascii="Times New Roman" w:hAnsi="Times New Roman" w:cs="Times New Roman"/>
          <w:sz w:val="24"/>
          <w:szCs w:val="24"/>
          <w:lang w:val="en-ZW" w:eastAsia="en-US"/>
        </w:rPr>
        <w:t xml:space="preserve"> </w:t>
      </w:r>
    </w:p>
    <w:p w:rsidR="009A0CA9" w:rsidRPr="009A0CA9" w:rsidRDefault="00D3589C" w:rsidP="009A0CA9">
      <w:pPr>
        <w:pStyle w:val="ListParagraph"/>
        <w:numPr>
          <w:ilvl w:val="1"/>
          <w:numId w:val="9"/>
        </w:numPr>
        <w:spacing w:after="156" w:line="360" w:lineRule="auto"/>
        <w:ind w:left="567" w:hanging="567"/>
        <w:jc w:val="both"/>
        <w:rPr>
          <w:rFonts w:ascii="Times New Roman" w:eastAsia="Times New Roman" w:hAnsi="Times New Roman" w:cs="Times New Roman"/>
          <w:b/>
          <w:color w:val="000000"/>
          <w:sz w:val="24"/>
          <w:szCs w:val="24"/>
        </w:rPr>
      </w:pPr>
      <w:r w:rsidRPr="009A0CA9">
        <w:rPr>
          <w:rFonts w:ascii="Times New Roman" w:hAnsi="Times New Roman" w:cs="Times New Roman"/>
          <w:b/>
          <w:sz w:val="24"/>
          <w:szCs w:val="24"/>
          <w:lang w:val="en-ZW" w:eastAsia="en-US"/>
        </w:rPr>
        <w:t xml:space="preserve">Clause 11 </w:t>
      </w:r>
      <w:r w:rsidRPr="009A0CA9">
        <w:rPr>
          <w:rFonts w:ascii="Times New Roman" w:hAnsi="Times New Roman" w:cs="Times New Roman"/>
          <w:sz w:val="24"/>
          <w:szCs w:val="24"/>
          <w:lang w:val="en-ZW" w:eastAsia="en-US"/>
        </w:rPr>
        <w:t xml:space="preserve">was </w:t>
      </w:r>
      <w:r w:rsidRPr="009A0CA9">
        <w:rPr>
          <w:rFonts w:ascii="Times New Roman" w:eastAsia="Times New Roman" w:hAnsi="Times New Roman" w:cs="Times New Roman"/>
          <w:color w:val="000000"/>
          <w:sz w:val="24"/>
          <w:szCs w:val="24"/>
        </w:rPr>
        <w:t>welcomed by the people as it empowers the Commission to co-operate with other regulatory authorities, both local and foreign, in enforcing laws, carrying out investigations and exchanging information. Th</w:t>
      </w:r>
      <w:r w:rsidR="006B15C3" w:rsidRPr="009A0CA9">
        <w:rPr>
          <w:rFonts w:ascii="Times New Roman" w:eastAsia="Times New Roman" w:hAnsi="Times New Roman" w:cs="Times New Roman"/>
          <w:color w:val="000000"/>
          <w:sz w:val="24"/>
          <w:szCs w:val="24"/>
        </w:rPr>
        <w:t>e provision is</w:t>
      </w:r>
      <w:r w:rsidRPr="009A0CA9">
        <w:rPr>
          <w:rFonts w:ascii="Times New Roman" w:eastAsia="Times New Roman" w:hAnsi="Times New Roman" w:cs="Times New Roman"/>
          <w:color w:val="000000"/>
          <w:sz w:val="24"/>
          <w:szCs w:val="24"/>
        </w:rPr>
        <w:t xml:space="preserve"> fundamental in building strong synergies of mutual cooperation between insurance companies and pension funds operating across national boundaries. </w:t>
      </w:r>
    </w:p>
    <w:p w:rsidR="009A0CA9" w:rsidRPr="00545AD9" w:rsidRDefault="00D3589C" w:rsidP="009A0CA9">
      <w:pPr>
        <w:pStyle w:val="ListParagraph"/>
        <w:spacing w:after="156" w:line="360" w:lineRule="auto"/>
        <w:ind w:left="567"/>
        <w:jc w:val="both"/>
        <w:rPr>
          <w:rFonts w:ascii="Times New Roman" w:eastAsia="Times New Roman" w:hAnsi="Times New Roman" w:cs="Times New Roman"/>
          <w:b/>
          <w:color w:val="000000" w:themeColor="text1"/>
          <w:sz w:val="24"/>
          <w:szCs w:val="24"/>
        </w:rPr>
      </w:pPr>
      <w:r w:rsidRPr="009A0CA9">
        <w:rPr>
          <w:rFonts w:ascii="Times New Roman" w:eastAsia="Times New Roman" w:hAnsi="Times New Roman" w:cs="Times New Roman"/>
          <w:color w:val="000000"/>
          <w:sz w:val="24"/>
          <w:szCs w:val="24"/>
        </w:rPr>
        <w:t>However, reservations were made on a provision that amends Section 23(C) of the Principal Act on s</w:t>
      </w:r>
      <w:r w:rsidRPr="009A0CA9">
        <w:rPr>
          <w:rFonts w:ascii="Times New Roman" w:eastAsia="Times New Roman" w:hAnsi="Times New Roman" w:cs="Times New Roman"/>
          <w:color w:val="000000"/>
          <w:sz w:val="24"/>
          <w:szCs w:val="24"/>
          <w:lang w:val="en-ZW"/>
        </w:rPr>
        <w:t xml:space="preserve">haring privileged information with other authorities. The provision </w:t>
      </w:r>
      <w:r w:rsidRPr="009A0CA9">
        <w:rPr>
          <w:rFonts w:ascii="Times New Roman" w:eastAsia="Times New Roman" w:hAnsi="Times New Roman" w:cs="Times New Roman"/>
          <w:color w:val="000000"/>
          <w:sz w:val="24"/>
          <w:szCs w:val="24"/>
        </w:rPr>
        <w:t xml:space="preserve">allows the Commission to pass on </w:t>
      </w:r>
      <w:r w:rsidRPr="009A0CA9">
        <w:rPr>
          <w:rFonts w:ascii="Times New Roman" w:eastAsia="Times New Roman" w:hAnsi="Times New Roman" w:cs="Times New Roman"/>
          <w:i/>
          <w:color w:val="000000"/>
          <w:sz w:val="24"/>
          <w:szCs w:val="24"/>
        </w:rPr>
        <w:t>“privileged information</w:t>
      </w:r>
      <w:r w:rsidRPr="009A0CA9">
        <w:rPr>
          <w:rFonts w:ascii="Times New Roman" w:eastAsia="Times New Roman" w:hAnsi="Times New Roman" w:cs="Times New Roman"/>
          <w:color w:val="000000"/>
          <w:sz w:val="24"/>
          <w:szCs w:val="24"/>
        </w:rPr>
        <w:t xml:space="preserve">” to other authorities, while it </w:t>
      </w:r>
      <w:r w:rsidRPr="009A0CA9">
        <w:rPr>
          <w:rFonts w:ascii="Times New Roman" w:eastAsia="Times New Roman" w:hAnsi="Times New Roman" w:cs="Times New Roman"/>
          <w:color w:val="000000"/>
          <w:sz w:val="24"/>
          <w:szCs w:val="24"/>
        </w:rPr>
        <w:lastRenderedPageBreak/>
        <w:t xml:space="preserve">will not have to disclose </w:t>
      </w:r>
      <w:r w:rsidRPr="009A0CA9">
        <w:rPr>
          <w:rFonts w:ascii="Times New Roman" w:eastAsia="Times New Roman" w:hAnsi="Times New Roman" w:cs="Times New Roman"/>
          <w:i/>
          <w:color w:val="000000"/>
          <w:sz w:val="24"/>
          <w:szCs w:val="24"/>
        </w:rPr>
        <w:t>“privileged information</w:t>
      </w:r>
      <w:r w:rsidRPr="009A0CA9">
        <w:rPr>
          <w:rFonts w:ascii="Times New Roman" w:eastAsia="Times New Roman" w:hAnsi="Times New Roman" w:cs="Times New Roman"/>
          <w:color w:val="000000"/>
          <w:sz w:val="24"/>
          <w:szCs w:val="24"/>
        </w:rPr>
        <w:t xml:space="preserve">” received from the same authorities. Members of the public noted that this provision was unclear and vague. Reference was made to the Civil Evidence Act which underlines that legal privileged information is information that the holder cannot be obliged to disclose. It was therefore submitted that the Bill needs to be amended so that the principle suggested under the clause is clear and straight forward, especially as to the kind of information the Commission will be able to disclose and </w:t>
      </w:r>
      <w:r w:rsidR="00B767E8" w:rsidRPr="009A0CA9">
        <w:rPr>
          <w:rFonts w:ascii="Times New Roman" w:eastAsia="Times New Roman" w:hAnsi="Times New Roman" w:cs="Times New Roman"/>
          <w:color w:val="000000"/>
          <w:sz w:val="24"/>
          <w:szCs w:val="24"/>
        </w:rPr>
        <w:t>not disclose</w:t>
      </w:r>
      <w:r w:rsidRPr="009A0CA9">
        <w:rPr>
          <w:rFonts w:ascii="Times New Roman" w:eastAsia="Times New Roman" w:hAnsi="Times New Roman" w:cs="Times New Roman"/>
          <w:color w:val="000000"/>
          <w:sz w:val="24"/>
          <w:szCs w:val="24"/>
        </w:rPr>
        <w:t xml:space="preserve"> in line with the provisions of the Civil Evidence Act on the </w:t>
      </w:r>
      <w:r w:rsidRPr="00545AD9">
        <w:rPr>
          <w:rFonts w:ascii="Times New Roman" w:eastAsia="Times New Roman" w:hAnsi="Times New Roman" w:cs="Times New Roman"/>
          <w:color w:val="000000" w:themeColor="text1"/>
          <w:sz w:val="24"/>
          <w:szCs w:val="24"/>
        </w:rPr>
        <w:t xml:space="preserve">conferment of the privilege on information. </w:t>
      </w:r>
    </w:p>
    <w:p w:rsidR="009A0CA9" w:rsidRPr="00545AD9" w:rsidRDefault="00D3589C" w:rsidP="009A0CA9">
      <w:pPr>
        <w:pStyle w:val="ListParagraph"/>
        <w:spacing w:after="156" w:line="360" w:lineRule="auto"/>
        <w:ind w:left="567"/>
        <w:jc w:val="both"/>
        <w:rPr>
          <w:rFonts w:ascii="Times New Roman" w:eastAsia="Times New Roman" w:hAnsi="Times New Roman" w:cs="Times New Roman"/>
          <w:b/>
          <w:color w:val="000000" w:themeColor="text1"/>
          <w:sz w:val="24"/>
          <w:szCs w:val="24"/>
        </w:rPr>
      </w:pPr>
      <w:r w:rsidRPr="00545AD9">
        <w:rPr>
          <w:rFonts w:ascii="Times New Roman" w:eastAsia="Times New Roman" w:hAnsi="Times New Roman" w:cs="Times New Roman"/>
          <w:color w:val="000000" w:themeColor="text1"/>
          <w:sz w:val="24"/>
          <w:szCs w:val="24"/>
        </w:rPr>
        <w:t>The public had reservations on the proposed amendment of Clause 11 which outlines the payment of unclaimed benefits of more than five years from the insurers and pensions to a proposed Pensions and Provident Fund Protection Fund. The public noted the need for clarity on where the liability will be transferred to once the unclaimed benefits are transferred to the Fund.</w:t>
      </w:r>
    </w:p>
    <w:p w:rsidR="009A0CA9" w:rsidRPr="009A0CA9" w:rsidRDefault="00CD596F" w:rsidP="009A0CA9">
      <w:pPr>
        <w:pStyle w:val="ListParagraph"/>
        <w:spacing w:after="156" w:line="360" w:lineRule="auto"/>
        <w:ind w:left="567"/>
        <w:jc w:val="both"/>
        <w:rPr>
          <w:rFonts w:ascii="Times New Roman" w:eastAsia="Times New Roman" w:hAnsi="Times New Roman" w:cs="Times New Roman"/>
          <w:b/>
          <w:color w:val="000000"/>
          <w:sz w:val="24"/>
          <w:szCs w:val="24"/>
        </w:rPr>
      </w:pPr>
      <w:r w:rsidRPr="009A0CA9">
        <w:rPr>
          <w:rFonts w:ascii="Times New Roman" w:eastAsia="Times New Roman" w:hAnsi="Times New Roman" w:cs="Times New Roman"/>
          <w:color w:val="000000"/>
          <w:sz w:val="24"/>
          <w:szCs w:val="24"/>
        </w:rPr>
        <w:t xml:space="preserve">The people also </w:t>
      </w:r>
      <w:r w:rsidR="00D3589C" w:rsidRPr="009A0CA9">
        <w:rPr>
          <w:rFonts w:ascii="Times New Roman" w:eastAsia="Times New Roman" w:hAnsi="Times New Roman" w:cs="Times New Roman"/>
          <w:color w:val="000000"/>
          <w:sz w:val="24"/>
          <w:szCs w:val="24"/>
        </w:rPr>
        <w:t xml:space="preserve">welcomed the provision in clause 11 of the Bill </w:t>
      </w:r>
      <w:r w:rsidRPr="009A0CA9">
        <w:rPr>
          <w:rFonts w:ascii="Times New Roman" w:eastAsia="Times New Roman" w:hAnsi="Times New Roman" w:cs="Times New Roman"/>
          <w:color w:val="000000"/>
          <w:sz w:val="24"/>
          <w:szCs w:val="24"/>
        </w:rPr>
        <w:t xml:space="preserve">on the establishment of the Policyholder and Pensions and Provident Fund Members Protection Fund </w:t>
      </w:r>
      <w:r w:rsidR="00D3589C" w:rsidRPr="009A0CA9">
        <w:rPr>
          <w:rFonts w:ascii="Times New Roman" w:eastAsia="Times New Roman" w:hAnsi="Times New Roman" w:cs="Times New Roman"/>
          <w:color w:val="000000"/>
          <w:sz w:val="24"/>
          <w:szCs w:val="24"/>
        </w:rPr>
        <w:t xml:space="preserve">to compensate holders of insurance policies and members of pension and provident funds who suffer loss in the event of their insurance companies or funds being insolvent. </w:t>
      </w:r>
      <w:r w:rsidRPr="009A0CA9">
        <w:rPr>
          <w:rFonts w:ascii="Times New Roman" w:eastAsia="Times New Roman" w:hAnsi="Times New Roman" w:cs="Times New Roman"/>
          <w:color w:val="000000"/>
          <w:sz w:val="24"/>
          <w:szCs w:val="24"/>
        </w:rPr>
        <w:t xml:space="preserve">It was noted </w:t>
      </w:r>
      <w:r w:rsidR="00D3589C" w:rsidRPr="009A0CA9">
        <w:rPr>
          <w:rFonts w:ascii="Times New Roman" w:eastAsia="Times New Roman" w:hAnsi="Times New Roman" w:cs="Times New Roman"/>
          <w:color w:val="000000"/>
          <w:sz w:val="24"/>
          <w:szCs w:val="24"/>
        </w:rPr>
        <w:t xml:space="preserve">that this </w:t>
      </w:r>
      <w:r w:rsidRPr="009A0CA9">
        <w:rPr>
          <w:rFonts w:ascii="Times New Roman" w:eastAsia="Times New Roman" w:hAnsi="Times New Roman" w:cs="Times New Roman"/>
          <w:color w:val="000000"/>
          <w:sz w:val="24"/>
          <w:szCs w:val="24"/>
        </w:rPr>
        <w:t xml:space="preserve">fund </w:t>
      </w:r>
      <w:r w:rsidR="00D3589C" w:rsidRPr="009A0CA9">
        <w:rPr>
          <w:rFonts w:ascii="Times New Roman" w:eastAsia="Times New Roman" w:hAnsi="Times New Roman" w:cs="Times New Roman"/>
          <w:color w:val="000000"/>
          <w:sz w:val="24"/>
          <w:szCs w:val="24"/>
        </w:rPr>
        <w:t xml:space="preserve">will enhance confidence in the insurance and pension industry. </w:t>
      </w:r>
    </w:p>
    <w:p w:rsidR="00D5400E" w:rsidRPr="009A0CA9" w:rsidRDefault="00D3589C" w:rsidP="009A0CA9">
      <w:pPr>
        <w:pStyle w:val="ListParagraph"/>
        <w:spacing w:after="156" w:line="360" w:lineRule="auto"/>
        <w:ind w:left="567"/>
        <w:jc w:val="both"/>
        <w:rPr>
          <w:rFonts w:ascii="Times New Roman" w:eastAsia="Times New Roman" w:hAnsi="Times New Roman" w:cs="Times New Roman"/>
          <w:b/>
          <w:color w:val="000000"/>
          <w:sz w:val="24"/>
          <w:szCs w:val="24"/>
        </w:rPr>
      </w:pPr>
      <w:r w:rsidRPr="009A0CA9">
        <w:rPr>
          <w:rFonts w:ascii="Times New Roman" w:eastAsia="Times New Roman" w:hAnsi="Times New Roman" w:cs="Times New Roman"/>
          <w:color w:val="000000"/>
          <w:sz w:val="24"/>
          <w:szCs w:val="24"/>
        </w:rPr>
        <w:t xml:space="preserve">Nonetheless </w:t>
      </w:r>
      <w:r w:rsidR="00CD596F" w:rsidRPr="009A0CA9">
        <w:rPr>
          <w:rFonts w:ascii="Times New Roman" w:eastAsia="Times New Roman" w:hAnsi="Times New Roman" w:cs="Times New Roman"/>
          <w:color w:val="000000"/>
          <w:sz w:val="24"/>
          <w:szCs w:val="24"/>
        </w:rPr>
        <w:t>the participants proffered the following recommendations, that;</w:t>
      </w:r>
    </w:p>
    <w:p w:rsidR="00D5400E" w:rsidRPr="00D3589C" w:rsidRDefault="00D5400E" w:rsidP="00D5400E">
      <w:pPr>
        <w:numPr>
          <w:ilvl w:val="0"/>
          <w:numId w:val="5"/>
        </w:numPr>
        <w:pBdr>
          <w:top w:val="nil"/>
          <w:left w:val="nil"/>
          <w:bottom w:val="nil"/>
          <w:right w:val="nil"/>
          <w:between w:val="nil"/>
        </w:pBdr>
        <w:spacing w:after="0" w:line="360" w:lineRule="auto"/>
        <w:ind w:left="1560"/>
        <w:jc w:val="both"/>
        <w:rPr>
          <w:rFonts w:ascii="Times New Roman" w:eastAsia="Times New Roman" w:hAnsi="Times New Roman" w:cs="Times New Roman"/>
          <w:color w:val="000000"/>
          <w:sz w:val="24"/>
          <w:szCs w:val="24"/>
        </w:rPr>
      </w:pPr>
      <w:r w:rsidRPr="00D3589C">
        <w:rPr>
          <w:rFonts w:ascii="Times New Roman" w:eastAsia="Times New Roman" w:hAnsi="Times New Roman" w:cs="Times New Roman"/>
          <w:color w:val="000000"/>
          <w:sz w:val="24"/>
          <w:szCs w:val="24"/>
        </w:rPr>
        <w:t xml:space="preserve">The Fund should be administered by a separate board comprising the Commissioner of Insurance [the CEO of the Commission] and up to seven other members appointed by the Minister and should be financed primarily from contributions by insurers and pension and provident funds. </w:t>
      </w:r>
    </w:p>
    <w:p w:rsidR="00D5400E" w:rsidRPr="00ED2961" w:rsidRDefault="00D5400E" w:rsidP="00D5400E">
      <w:pPr>
        <w:numPr>
          <w:ilvl w:val="0"/>
          <w:numId w:val="5"/>
        </w:numPr>
        <w:pBdr>
          <w:top w:val="nil"/>
          <w:left w:val="nil"/>
          <w:bottom w:val="nil"/>
          <w:right w:val="nil"/>
          <w:between w:val="nil"/>
        </w:pBdr>
        <w:spacing w:after="0" w:line="360" w:lineRule="auto"/>
        <w:ind w:left="1560"/>
        <w:jc w:val="both"/>
        <w:rPr>
          <w:rFonts w:ascii="Times New Roman" w:eastAsia="Times New Roman" w:hAnsi="Times New Roman" w:cs="Times New Roman"/>
          <w:sz w:val="24"/>
          <w:szCs w:val="24"/>
        </w:rPr>
      </w:pPr>
      <w:r w:rsidRPr="00ED2961">
        <w:rPr>
          <w:rFonts w:ascii="Times New Roman" w:eastAsia="Times New Roman" w:hAnsi="Times New Roman" w:cs="Times New Roman"/>
          <w:sz w:val="24"/>
          <w:szCs w:val="24"/>
        </w:rPr>
        <w:t xml:space="preserve">The insurers </w:t>
      </w:r>
      <w:r w:rsidR="00CD596F" w:rsidRPr="00ED2961">
        <w:rPr>
          <w:rFonts w:ascii="Times New Roman" w:eastAsia="Times New Roman" w:hAnsi="Times New Roman" w:cs="Times New Roman"/>
          <w:sz w:val="24"/>
          <w:szCs w:val="24"/>
        </w:rPr>
        <w:t xml:space="preserve">must </w:t>
      </w:r>
      <w:r w:rsidRPr="00ED2961">
        <w:rPr>
          <w:rFonts w:ascii="Times New Roman" w:eastAsia="Times New Roman" w:hAnsi="Times New Roman" w:cs="Times New Roman"/>
          <w:sz w:val="24"/>
          <w:szCs w:val="24"/>
        </w:rPr>
        <w:t xml:space="preserve">have a say in the selection and appointment of fund management Board. Reference was made to the appointment of Board members of the Deposit Protection Corporation Board where contributory institutions have a </w:t>
      </w:r>
      <w:r w:rsidR="00CD596F" w:rsidRPr="00ED2961">
        <w:rPr>
          <w:rFonts w:ascii="Times New Roman" w:eastAsia="Times New Roman" w:hAnsi="Times New Roman" w:cs="Times New Roman"/>
          <w:sz w:val="24"/>
          <w:szCs w:val="24"/>
        </w:rPr>
        <w:t xml:space="preserve">role to play in </w:t>
      </w:r>
      <w:r w:rsidRPr="00ED2961">
        <w:rPr>
          <w:rFonts w:ascii="Times New Roman" w:eastAsia="Times New Roman" w:hAnsi="Times New Roman" w:cs="Times New Roman"/>
          <w:sz w:val="24"/>
          <w:szCs w:val="24"/>
        </w:rPr>
        <w:t>appointment</w:t>
      </w:r>
      <w:r w:rsidR="00CD596F" w:rsidRPr="00ED2961">
        <w:rPr>
          <w:rFonts w:ascii="Times New Roman" w:eastAsia="Times New Roman" w:hAnsi="Times New Roman" w:cs="Times New Roman"/>
          <w:sz w:val="24"/>
          <w:szCs w:val="24"/>
        </w:rPr>
        <w:t>s</w:t>
      </w:r>
      <w:r w:rsidRPr="00ED2961">
        <w:rPr>
          <w:rFonts w:ascii="Times New Roman" w:eastAsia="Times New Roman" w:hAnsi="Times New Roman" w:cs="Times New Roman"/>
          <w:sz w:val="24"/>
          <w:szCs w:val="24"/>
        </w:rPr>
        <w:t xml:space="preserve">. </w:t>
      </w:r>
    </w:p>
    <w:p w:rsidR="00D5400E" w:rsidRPr="00ED2961" w:rsidRDefault="00D5400E" w:rsidP="00D5400E">
      <w:pPr>
        <w:numPr>
          <w:ilvl w:val="0"/>
          <w:numId w:val="5"/>
        </w:numPr>
        <w:pBdr>
          <w:top w:val="nil"/>
          <w:left w:val="nil"/>
          <w:bottom w:val="nil"/>
          <w:right w:val="nil"/>
          <w:between w:val="nil"/>
        </w:pBdr>
        <w:spacing w:line="360" w:lineRule="auto"/>
        <w:ind w:left="1560"/>
        <w:jc w:val="both"/>
        <w:rPr>
          <w:rFonts w:ascii="Times New Roman" w:eastAsia="Times New Roman" w:hAnsi="Times New Roman" w:cs="Times New Roman"/>
          <w:sz w:val="24"/>
          <w:szCs w:val="24"/>
        </w:rPr>
      </w:pPr>
      <w:r w:rsidRPr="00ED2961">
        <w:rPr>
          <w:rFonts w:ascii="Times New Roman" w:eastAsia="Times New Roman" w:hAnsi="Times New Roman" w:cs="Times New Roman"/>
          <w:sz w:val="24"/>
          <w:szCs w:val="24"/>
        </w:rPr>
        <w:t xml:space="preserve">There is need to reduce the limit on expenditure on staff remuneration and allowances from the proposed 30 % of the Fund’s annual income to 10%. The 10% should also cover the sitting allowances of the Board members. </w:t>
      </w:r>
    </w:p>
    <w:p w:rsidR="009A0CA9" w:rsidRPr="00ED2961" w:rsidRDefault="00F13F97" w:rsidP="009A0CA9">
      <w:pPr>
        <w:pStyle w:val="ListParagraph"/>
        <w:numPr>
          <w:ilvl w:val="1"/>
          <w:numId w:val="9"/>
        </w:numPr>
        <w:spacing w:after="156" w:line="360" w:lineRule="auto"/>
        <w:ind w:left="567" w:hanging="567"/>
        <w:jc w:val="both"/>
        <w:rPr>
          <w:rFonts w:ascii="Times New Roman" w:hAnsi="Times New Roman" w:cs="Times New Roman"/>
          <w:sz w:val="24"/>
          <w:szCs w:val="24"/>
          <w:lang w:val="en-ZW" w:eastAsia="en-US"/>
        </w:rPr>
      </w:pPr>
      <w:r w:rsidRPr="00ED2961">
        <w:rPr>
          <w:rFonts w:ascii="Times New Roman" w:hAnsi="Times New Roman" w:cs="Times New Roman"/>
          <w:b/>
          <w:sz w:val="24"/>
          <w:szCs w:val="24"/>
          <w:lang w:val="en-ZW" w:eastAsia="en-US"/>
        </w:rPr>
        <w:t>Clause 13</w:t>
      </w:r>
      <w:r w:rsidR="007E2EDF" w:rsidRPr="00ED2961">
        <w:rPr>
          <w:rFonts w:ascii="Times New Roman" w:hAnsi="Times New Roman" w:cs="Times New Roman"/>
          <w:b/>
          <w:sz w:val="24"/>
          <w:szCs w:val="24"/>
          <w:lang w:val="en-ZW" w:eastAsia="en-US"/>
        </w:rPr>
        <w:t xml:space="preserve"> </w:t>
      </w:r>
      <w:r w:rsidR="009D36E8" w:rsidRPr="00ED2961">
        <w:rPr>
          <w:rFonts w:ascii="Times New Roman" w:eastAsia="Times New Roman" w:hAnsi="Times New Roman" w:cs="Times New Roman"/>
          <w:sz w:val="24"/>
          <w:szCs w:val="24"/>
        </w:rPr>
        <w:t xml:space="preserve">provides for exemption of members of the Board and staff of the Commission from liability for loss or damage they may cause, unless they acted deliberately or recklessly or with gross negligence. The Public raised concern that the effect of this </w:t>
      </w:r>
      <w:r w:rsidR="009D36E8" w:rsidRPr="00ED2961">
        <w:rPr>
          <w:rFonts w:ascii="Times New Roman" w:eastAsia="Times New Roman" w:hAnsi="Times New Roman" w:cs="Times New Roman"/>
          <w:sz w:val="24"/>
          <w:szCs w:val="24"/>
        </w:rPr>
        <w:lastRenderedPageBreak/>
        <w:t>provision is to place all liability on the Commission rather than the individual who actually caused the loss. Placing liability for loss or damage on the Commission was deemed to imply that the Commission’s board and staff are above the law thus violating the rule of law as enshrined in Section 56(1) of the Constitution.</w:t>
      </w:r>
    </w:p>
    <w:p w:rsidR="009A0CA9" w:rsidRPr="00ED2961" w:rsidRDefault="009D36E8" w:rsidP="009A0CA9">
      <w:pPr>
        <w:pStyle w:val="ListParagraph"/>
        <w:spacing w:after="156" w:line="360" w:lineRule="auto"/>
        <w:ind w:left="567"/>
        <w:jc w:val="both"/>
        <w:rPr>
          <w:rFonts w:ascii="Times New Roman" w:hAnsi="Times New Roman" w:cs="Times New Roman"/>
          <w:sz w:val="24"/>
          <w:szCs w:val="24"/>
          <w:lang w:val="en-ZW" w:eastAsia="en-US"/>
        </w:rPr>
      </w:pPr>
      <w:r w:rsidRPr="00ED2961">
        <w:rPr>
          <w:rFonts w:ascii="Times New Roman" w:eastAsia="Times New Roman" w:hAnsi="Times New Roman" w:cs="Times New Roman"/>
          <w:sz w:val="24"/>
          <w:szCs w:val="24"/>
        </w:rPr>
        <w:t xml:space="preserve">The public also </w:t>
      </w:r>
      <w:r w:rsidR="003132B6" w:rsidRPr="00ED2961">
        <w:rPr>
          <w:rFonts w:ascii="Times New Roman" w:eastAsia="Times New Roman" w:hAnsi="Times New Roman" w:cs="Times New Roman"/>
          <w:sz w:val="24"/>
          <w:szCs w:val="24"/>
        </w:rPr>
        <w:t>raised concern on a provision under</w:t>
      </w:r>
      <w:r w:rsidRPr="00ED2961">
        <w:rPr>
          <w:rFonts w:ascii="Times New Roman" w:eastAsia="Times New Roman" w:hAnsi="Times New Roman" w:cs="Times New Roman"/>
          <w:sz w:val="24"/>
          <w:szCs w:val="24"/>
        </w:rPr>
        <w:t xml:space="preserve"> Clause 13 amending Section 32(B) of the Principal Act requiring the Commission to keep asset registers for insurers, insurance brokers, funds and other entities, and prohibits those entities from disposing of assets unless the Commission has been given 14 days’ advance notice of the disposal. The provision was deemed as unduly restrictive, warranting the delay of decisions which sometimes need to be made quickly – for example, the selling of stocks and shares. </w:t>
      </w:r>
      <w:r w:rsidR="003132B6" w:rsidRPr="00ED2961">
        <w:rPr>
          <w:rFonts w:ascii="Times New Roman" w:eastAsia="Times New Roman" w:hAnsi="Times New Roman" w:cs="Times New Roman"/>
          <w:sz w:val="24"/>
          <w:szCs w:val="24"/>
        </w:rPr>
        <w:t xml:space="preserve">This was highlighted to be potentially damaging to the operations of insurers if they have to give 14 days-notice at every turn, particularly for cash and cash equivalents and marketable securities (money market instruments and listed shares). </w:t>
      </w:r>
      <w:r w:rsidRPr="00ED2961">
        <w:rPr>
          <w:rFonts w:ascii="Times New Roman" w:eastAsia="Times New Roman" w:hAnsi="Times New Roman" w:cs="Times New Roman"/>
          <w:sz w:val="24"/>
          <w:szCs w:val="24"/>
        </w:rPr>
        <w:t>The public recommended that 3 working days would suffice in this provision instead of the 14 days proposed by the Bill.</w:t>
      </w:r>
    </w:p>
    <w:p w:rsidR="009A0CA9" w:rsidRPr="00ED2961" w:rsidRDefault="009D36E8" w:rsidP="009A0CA9">
      <w:pPr>
        <w:pStyle w:val="ListParagraph"/>
        <w:spacing w:after="156" w:line="360" w:lineRule="auto"/>
        <w:ind w:left="567"/>
        <w:jc w:val="both"/>
        <w:rPr>
          <w:rFonts w:ascii="Times New Roman" w:hAnsi="Times New Roman" w:cs="Times New Roman"/>
          <w:sz w:val="24"/>
          <w:szCs w:val="24"/>
          <w:lang w:val="en-ZW" w:eastAsia="en-US"/>
        </w:rPr>
      </w:pPr>
      <w:r w:rsidRPr="00ED2961">
        <w:rPr>
          <w:rFonts w:ascii="Times New Roman" w:eastAsia="Times New Roman" w:hAnsi="Times New Roman" w:cs="Times New Roman"/>
          <w:sz w:val="24"/>
          <w:szCs w:val="24"/>
        </w:rPr>
        <w:t>The public welcomed the provision in Clause 13</w:t>
      </w:r>
      <w:r w:rsidR="003132B6" w:rsidRPr="00ED2961">
        <w:rPr>
          <w:rFonts w:ascii="Times New Roman" w:eastAsia="Times New Roman" w:hAnsi="Times New Roman" w:cs="Times New Roman"/>
          <w:sz w:val="24"/>
          <w:szCs w:val="24"/>
        </w:rPr>
        <w:t xml:space="preserve"> on appeals where </w:t>
      </w:r>
      <w:r w:rsidRPr="00ED2961">
        <w:rPr>
          <w:rFonts w:ascii="Times New Roman" w:eastAsia="Times New Roman" w:hAnsi="Times New Roman" w:cs="Times New Roman"/>
          <w:sz w:val="24"/>
          <w:szCs w:val="24"/>
        </w:rPr>
        <w:t>insurers and other people who are aggrieved by</w:t>
      </w:r>
      <w:r w:rsidR="003132B6" w:rsidRPr="00ED2961">
        <w:rPr>
          <w:rFonts w:ascii="Times New Roman" w:eastAsia="Times New Roman" w:hAnsi="Times New Roman" w:cs="Times New Roman"/>
          <w:sz w:val="24"/>
          <w:szCs w:val="24"/>
        </w:rPr>
        <w:t xml:space="preserve"> decisions of the Commission are allowed to </w:t>
      </w:r>
      <w:r w:rsidRPr="00ED2961">
        <w:rPr>
          <w:rFonts w:ascii="Times New Roman" w:eastAsia="Times New Roman" w:hAnsi="Times New Roman" w:cs="Times New Roman"/>
          <w:sz w:val="24"/>
          <w:szCs w:val="24"/>
        </w:rPr>
        <w:t xml:space="preserve">appeal to the </w:t>
      </w:r>
      <w:r w:rsidR="003132B6" w:rsidRPr="00ED2961">
        <w:rPr>
          <w:rFonts w:ascii="Times New Roman" w:eastAsia="Times New Roman" w:hAnsi="Times New Roman" w:cs="Times New Roman"/>
          <w:sz w:val="24"/>
          <w:szCs w:val="24"/>
        </w:rPr>
        <w:t xml:space="preserve">responsible </w:t>
      </w:r>
      <w:r w:rsidRPr="00ED2961">
        <w:rPr>
          <w:rFonts w:ascii="Times New Roman" w:eastAsia="Times New Roman" w:hAnsi="Times New Roman" w:cs="Times New Roman"/>
          <w:sz w:val="24"/>
          <w:szCs w:val="24"/>
        </w:rPr>
        <w:t xml:space="preserve">Minister. The public however noted that the provision failed to specify what the Minister will do when faced with such an appeal. Reference was made to section 73 of the Banking Act, which gives banks the right of appeal to the Minister against decisions of the Reserve Bank and, if they are dissatisfied with the Minister’s decision, they can appeal to the Administrative Court and from there to the Supreme Court. The public was of the opinion that the same extended right of appeal should be given to persons aggrieved by the Commission’s decisions. </w:t>
      </w:r>
    </w:p>
    <w:p w:rsidR="00FE17D8" w:rsidRDefault="000B05EC" w:rsidP="009A0CA9">
      <w:pPr>
        <w:pStyle w:val="ListParagraph"/>
        <w:spacing w:after="156" w:line="360" w:lineRule="auto"/>
        <w:ind w:left="567"/>
        <w:jc w:val="both"/>
        <w:rPr>
          <w:rFonts w:ascii="Times New Roman" w:eastAsia="Times New Roman" w:hAnsi="Times New Roman" w:cs="Times New Roman"/>
          <w:sz w:val="24"/>
          <w:szCs w:val="24"/>
        </w:rPr>
      </w:pPr>
      <w:r w:rsidRPr="00ED2961">
        <w:rPr>
          <w:rFonts w:ascii="Times New Roman" w:eastAsia="Times New Roman" w:hAnsi="Times New Roman" w:cs="Times New Roman"/>
          <w:sz w:val="24"/>
          <w:szCs w:val="24"/>
        </w:rPr>
        <w:t>Further concern over clause 13 of the bill was raised citing that the provision for determining when an insurer or pension fund becomes insolvent [and thereby entitling policy holders or members to seek compensation] needs to be clarified. The public observed that there was no provision in the insurance act or the pension and provident funds act for entities to be “declared to be of unsound financial position”, as stated in the amendment bill.</w:t>
      </w:r>
    </w:p>
    <w:p w:rsidR="006358DF" w:rsidRDefault="006358DF" w:rsidP="009A0CA9">
      <w:pPr>
        <w:pStyle w:val="ListParagraph"/>
        <w:spacing w:after="156" w:line="360" w:lineRule="auto"/>
        <w:ind w:left="567"/>
        <w:jc w:val="both"/>
        <w:rPr>
          <w:rFonts w:ascii="Times New Roman" w:eastAsia="Times New Roman" w:hAnsi="Times New Roman" w:cs="Times New Roman"/>
          <w:sz w:val="24"/>
          <w:szCs w:val="24"/>
        </w:rPr>
      </w:pPr>
    </w:p>
    <w:p w:rsidR="006358DF" w:rsidRDefault="006358DF" w:rsidP="009A0CA9">
      <w:pPr>
        <w:pStyle w:val="ListParagraph"/>
        <w:spacing w:after="156" w:line="360" w:lineRule="auto"/>
        <w:ind w:left="567"/>
        <w:jc w:val="both"/>
        <w:rPr>
          <w:rFonts w:ascii="Times New Roman" w:eastAsia="Times New Roman" w:hAnsi="Times New Roman" w:cs="Times New Roman"/>
          <w:sz w:val="24"/>
          <w:szCs w:val="24"/>
        </w:rPr>
      </w:pPr>
    </w:p>
    <w:p w:rsidR="006358DF" w:rsidRPr="00ED2961" w:rsidRDefault="006358DF" w:rsidP="009A0CA9">
      <w:pPr>
        <w:pStyle w:val="ListParagraph"/>
        <w:spacing w:after="156" w:line="360" w:lineRule="auto"/>
        <w:ind w:left="567"/>
        <w:jc w:val="both"/>
        <w:rPr>
          <w:rFonts w:ascii="Times New Roman" w:hAnsi="Times New Roman" w:cs="Times New Roman"/>
          <w:sz w:val="24"/>
          <w:szCs w:val="24"/>
          <w:lang w:val="en-ZW" w:eastAsia="en-US"/>
        </w:rPr>
      </w:pPr>
    </w:p>
    <w:p w:rsidR="003F6660" w:rsidRDefault="003F6660" w:rsidP="00FE17D8">
      <w:pPr>
        <w:pStyle w:val="ListParagraph"/>
        <w:spacing w:after="156" w:line="360" w:lineRule="auto"/>
        <w:ind w:left="851"/>
        <w:jc w:val="both"/>
        <w:rPr>
          <w:rFonts w:ascii="Times New Roman" w:eastAsia="Times New Roman" w:hAnsi="Times New Roman" w:cs="Times New Roman"/>
          <w:sz w:val="24"/>
          <w:szCs w:val="24"/>
        </w:rPr>
      </w:pPr>
    </w:p>
    <w:p w:rsidR="009A0CA9" w:rsidRDefault="00FE17D8" w:rsidP="009A0CA9">
      <w:pPr>
        <w:pStyle w:val="ListParagraph"/>
        <w:numPr>
          <w:ilvl w:val="0"/>
          <w:numId w:val="9"/>
        </w:numPr>
        <w:spacing w:after="156" w:line="360" w:lineRule="auto"/>
        <w:ind w:left="567" w:hanging="567"/>
        <w:jc w:val="both"/>
        <w:rPr>
          <w:rFonts w:ascii="Times New Roman" w:eastAsia="Times New Roman" w:hAnsi="Times New Roman" w:cs="Times New Roman"/>
          <w:b/>
          <w:sz w:val="24"/>
          <w:szCs w:val="24"/>
        </w:rPr>
      </w:pPr>
      <w:r w:rsidRPr="009A0CA9">
        <w:rPr>
          <w:rFonts w:ascii="Times New Roman" w:eastAsia="Times New Roman" w:hAnsi="Times New Roman" w:cs="Times New Roman"/>
          <w:b/>
          <w:sz w:val="24"/>
          <w:szCs w:val="24"/>
        </w:rPr>
        <w:lastRenderedPageBreak/>
        <w:t xml:space="preserve">Committee </w:t>
      </w:r>
      <w:r w:rsidR="006A6632" w:rsidRPr="009A0CA9">
        <w:rPr>
          <w:rFonts w:ascii="Times New Roman" w:eastAsia="Times New Roman" w:hAnsi="Times New Roman" w:cs="Times New Roman"/>
          <w:b/>
          <w:sz w:val="24"/>
          <w:szCs w:val="24"/>
        </w:rPr>
        <w:t>Observations</w:t>
      </w:r>
    </w:p>
    <w:p w:rsidR="009A0CA9" w:rsidRPr="009A0CA9" w:rsidRDefault="0019612A" w:rsidP="009A0CA9">
      <w:pPr>
        <w:pStyle w:val="ListParagraph"/>
        <w:numPr>
          <w:ilvl w:val="1"/>
          <w:numId w:val="9"/>
        </w:numPr>
        <w:spacing w:after="156" w:line="360" w:lineRule="auto"/>
        <w:ind w:left="567" w:hanging="567"/>
        <w:jc w:val="both"/>
        <w:rPr>
          <w:rFonts w:ascii="Times New Roman" w:eastAsia="Times New Roman" w:hAnsi="Times New Roman" w:cs="Times New Roman"/>
          <w:b/>
          <w:sz w:val="24"/>
          <w:szCs w:val="24"/>
        </w:rPr>
      </w:pPr>
      <w:r w:rsidRPr="009A0CA9">
        <w:rPr>
          <w:rFonts w:ascii="Times New Roman" w:eastAsia="Times New Roman" w:hAnsi="Times New Roman" w:cs="Times New Roman"/>
          <w:sz w:val="24"/>
          <w:szCs w:val="24"/>
        </w:rPr>
        <w:t xml:space="preserve">That the strengthening of the mandate of IPEC would contribute to the stabilisation of the pension and insurance industry. </w:t>
      </w:r>
    </w:p>
    <w:p w:rsidR="002E6AA0" w:rsidRPr="002E6AA0" w:rsidRDefault="001F39AE" w:rsidP="009A0CA9">
      <w:pPr>
        <w:pStyle w:val="ListParagraph"/>
        <w:numPr>
          <w:ilvl w:val="1"/>
          <w:numId w:val="9"/>
        </w:numPr>
        <w:spacing w:after="156" w:line="360" w:lineRule="auto"/>
        <w:ind w:left="567" w:hanging="56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That the term ‘asset’ was not defined in the main act and the bill. In the insurance and pension industry, asset refers to </w:t>
      </w:r>
      <w:r w:rsidR="002E6AA0" w:rsidRPr="002E6AA0">
        <w:rPr>
          <w:rFonts w:ascii="Times New Roman" w:eastAsia="Times New Roman" w:hAnsi="Times New Roman" w:cs="Times New Roman"/>
          <w:sz w:val="24"/>
          <w:szCs w:val="24"/>
        </w:rPr>
        <w:t xml:space="preserve">capital assets, investment assets, policyholder assets or shareholder assets </w:t>
      </w:r>
      <w:r w:rsidR="002E6AA0">
        <w:rPr>
          <w:rFonts w:ascii="Times New Roman" w:eastAsia="Times New Roman" w:hAnsi="Times New Roman" w:cs="Times New Roman"/>
          <w:sz w:val="24"/>
          <w:szCs w:val="24"/>
        </w:rPr>
        <w:t xml:space="preserve">among other assets within the </w:t>
      </w:r>
      <w:r>
        <w:rPr>
          <w:rFonts w:ascii="Times New Roman" w:eastAsia="Times New Roman" w:hAnsi="Times New Roman" w:cs="Times New Roman"/>
          <w:sz w:val="24"/>
          <w:szCs w:val="24"/>
        </w:rPr>
        <w:t>sector</w:t>
      </w:r>
      <w:r w:rsidR="002E6AA0">
        <w:rPr>
          <w:rFonts w:ascii="Times New Roman" w:eastAsia="Times New Roman" w:hAnsi="Times New Roman" w:cs="Times New Roman"/>
          <w:sz w:val="24"/>
          <w:szCs w:val="24"/>
        </w:rPr>
        <w:t xml:space="preserve">. </w:t>
      </w:r>
    </w:p>
    <w:p w:rsidR="009A0CA9" w:rsidRPr="009A0CA9" w:rsidRDefault="009A0CA9" w:rsidP="009A0CA9">
      <w:pPr>
        <w:pStyle w:val="ListParagraph"/>
        <w:numPr>
          <w:ilvl w:val="1"/>
          <w:numId w:val="9"/>
        </w:numPr>
        <w:spacing w:after="156" w:line="360" w:lineRule="auto"/>
        <w:ind w:left="567" w:hanging="56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That the</w:t>
      </w:r>
      <w:r w:rsidR="0019612A" w:rsidRPr="009A0CA9">
        <w:rPr>
          <w:rFonts w:ascii="Times New Roman" w:eastAsia="Times New Roman" w:hAnsi="Times New Roman" w:cs="Times New Roman"/>
          <w:sz w:val="24"/>
          <w:szCs w:val="24"/>
        </w:rPr>
        <w:t xml:space="preserve"> inclusion of NSSA in the basket of institutions to be monitored and regu</w:t>
      </w:r>
      <w:r>
        <w:rPr>
          <w:rFonts w:ascii="Times New Roman" w:eastAsia="Times New Roman" w:hAnsi="Times New Roman" w:cs="Times New Roman"/>
          <w:sz w:val="24"/>
          <w:szCs w:val="24"/>
        </w:rPr>
        <w:t>lated by IPEC is a welcome development</w:t>
      </w:r>
      <w:r w:rsidR="0019612A" w:rsidRPr="009A0CA9">
        <w:rPr>
          <w:rFonts w:ascii="Times New Roman" w:eastAsia="Times New Roman" w:hAnsi="Times New Roman" w:cs="Times New Roman"/>
          <w:sz w:val="24"/>
          <w:szCs w:val="24"/>
        </w:rPr>
        <w:t>, given the many challenges facing NSSA under the Ministry of Public Service, Labour and Social Welfare</w:t>
      </w:r>
      <w:r w:rsidR="002E6AA0">
        <w:rPr>
          <w:rFonts w:ascii="Times New Roman" w:eastAsia="Times New Roman" w:hAnsi="Times New Roman" w:cs="Times New Roman"/>
          <w:sz w:val="24"/>
          <w:szCs w:val="24"/>
        </w:rPr>
        <w:t xml:space="preserve"> and medical aid societies under the Ministry of Health and Child Care</w:t>
      </w:r>
      <w:r w:rsidR="0019612A" w:rsidRPr="009A0CA9">
        <w:rPr>
          <w:rFonts w:ascii="Times New Roman" w:eastAsia="Times New Roman" w:hAnsi="Times New Roman" w:cs="Times New Roman"/>
          <w:sz w:val="24"/>
          <w:szCs w:val="24"/>
        </w:rPr>
        <w:t xml:space="preserve">. </w:t>
      </w:r>
    </w:p>
    <w:p w:rsidR="000E5843" w:rsidRPr="000E5843" w:rsidRDefault="008B7921" w:rsidP="009A0CA9">
      <w:pPr>
        <w:pStyle w:val="ListParagraph"/>
        <w:numPr>
          <w:ilvl w:val="1"/>
          <w:numId w:val="9"/>
        </w:numPr>
        <w:spacing w:after="156" w:line="360" w:lineRule="auto"/>
        <w:ind w:left="567" w:hanging="567"/>
        <w:jc w:val="both"/>
        <w:rPr>
          <w:rFonts w:ascii="Times New Roman" w:eastAsia="Times New Roman" w:hAnsi="Times New Roman" w:cs="Times New Roman"/>
          <w:b/>
          <w:sz w:val="24"/>
          <w:szCs w:val="24"/>
        </w:rPr>
      </w:pPr>
      <w:r w:rsidRPr="009A0CA9">
        <w:rPr>
          <w:rFonts w:ascii="Times New Roman" w:eastAsia="Times New Roman" w:hAnsi="Times New Roman" w:cs="Times New Roman"/>
          <w:sz w:val="24"/>
          <w:szCs w:val="24"/>
        </w:rPr>
        <w:t xml:space="preserve">That </w:t>
      </w:r>
      <w:r w:rsidR="006A6632" w:rsidRPr="009A0CA9">
        <w:rPr>
          <w:rFonts w:ascii="Times New Roman" w:eastAsia="Times New Roman" w:hAnsi="Times New Roman" w:cs="Times New Roman"/>
          <w:sz w:val="24"/>
          <w:szCs w:val="24"/>
        </w:rPr>
        <w:t xml:space="preserve">the establishment of the </w:t>
      </w:r>
      <w:r w:rsidRPr="009A0CA9">
        <w:rPr>
          <w:rFonts w:ascii="Times New Roman" w:eastAsia="Times New Roman" w:hAnsi="Times New Roman" w:cs="Times New Roman"/>
          <w:color w:val="000000"/>
          <w:sz w:val="24"/>
          <w:szCs w:val="24"/>
        </w:rPr>
        <w:t>Policyholder and Pensions and Provident Fund Members Protection Fund is a</w:t>
      </w:r>
      <w:r w:rsidR="006A6632" w:rsidRPr="009A0CA9">
        <w:rPr>
          <w:rFonts w:ascii="Times New Roman" w:eastAsia="Times New Roman" w:hAnsi="Times New Roman" w:cs="Times New Roman"/>
          <w:sz w:val="24"/>
          <w:szCs w:val="24"/>
        </w:rPr>
        <w:t xml:space="preserve"> welcome move critical in bringing sanity in the Insurance Industry</w:t>
      </w:r>
      <w:r w:rsidRPr="009A0CA9">
        <w:rPr>
          <w:rFonts w:ascii="Times New Roman" w:eastAsia="Times New Roman" w:hAnsi="Times New Roman" w:cs="Times New Roman"/>
          <w:sz w:val="24"/>
          <w:szCs w:val="24"/>
        </w:rPr>
        <w:t>, particularly when some companies become insolvent and members lose their benefits</w:t>
      </w:r>
      <w:r w:rsidR="006A6632" w:rsidRPr="009A0CA9">
        <w:rPr>
          <w:rFonts w:ascii="Times New Roman" w:eastAsia="Times New Roman" w:hAnsi="Times New Roman" w:cs="Times New Roman"/>
          <w:sz w:val="24"/>
          <w:szCs w:val="24"/>
        </w:rPr>
        <w:t xml:space="preserve">. </w:t>
      </w:r>
    </w:p>
    <w:p w:rsidR="009A0CA9" w:rsidRPr="009A0CA9" w:rsidRDefault="008B7921" w:rsidP="009A0CA9">
      <w:pPr>
        <w:pStyle w:val="ListParagraph"/>
        <w:numPr>
          <w:ilvl w:val="1"/>
          <w:numId w:val="9"/>
        </w:numPr>
        <w:spacing w:after="156" w:line="360" w:lineRule="auto"/>
        <w:ind w:left="567" w:hanging="567"/>
        <w:jc w:val="both"/>
        <w:rPr>
          <w:rFonts w:ascii="Times New Roman" w:eastAsia="Times New Roman" w:hAnsi="Times New Roman" w:cs="Times New Roman"/>
          <w:b/>
          <w:sz w:val="24"/>
          <w:szCs w:val="24"/>
        </w:rPr>
      </w:pPr>
      <w:r w:rsidRPr="009A0CA9">
        <w:rPr>
          <w:rFonts w:ascii="Times New Roman" w:eastAsia="Times New Roman" w:hAnsi="Times New Roman" w:cs="Times New Roman"/>
          <w:sz w:val="24"/>
          <w:szCs w:val="24"/>
        </w:rPr>
        <w:t>The</w:t>
      </w:r>
      <w:r w:rsidR="006A6632" w:rsidRPr="009A0CA9">
        <w:rPr>
          <w:rFonts w:ascii="Times New Roman" w:eastAsia="Times New Roman" w:hAnsi="Times New Roman" w:cs="Times New Roman"/>
          <w:sz w:val="24"/>
          <w:szCs w:val="24"/>
        </w:rPr>
        <w:t xml:space="preserve"> Bill fail</w:t>
      </w:r>
      <w:r w:rsidRPr="009A0CA9">
        <w:rPr>
          <w:rFonts w:ascii="Times New Roman" w:eastAsia="Times New Roman" w:hAnsi="Times New Roman" w:cs="Times New Roman"/>
          <w:sz w:val="24"/>
          <w:szCs w:val="24"/>
        </w:rPr>
        <w:t xml:space="preserve">s to give the key stakeholders in the industry </w:t>
      </w:r>
      <w:r w:rsidR="006A6632" w:rsidRPr="009A0CA9">
        <w:rPr>
          <w:rFonts w:ascii="Times New Roman" w:eastAsia="Times New Roman" w:hAnsi="Times New Roman" w:cs="Times New Roman"/>
          <w:sz w:val="24"/>
          <w:szCs w:val="24"/>
        </w:rPr>
        <w:t>the right to give opinion in the selecti</w:t>
      </w:r>
      <w:r w:rsidRPr="009A0CA9">
        <w:rPr>
          <w:rFonts w:ascii="Times New Roman" w:eastAsia="Times New Roman" w:hAnsi="Times New Roman" w:cs="Times New Roman"/>
          <w:sz w:val="24"/>
          <w:szCs w:val="24"/>
        </w:rPr>
        <w:t xml:space="preserve">on and appointment of fund board </w:t>
      </w:r>
      <w:r w:rsidR="006A6632" w:rsidRPr="009A0CA9">
        <w:rPr>
          <w:rFonts w:ascii="Times New Roman" w:eastAsia="Times New Roman" w:hAnsi="Times New Roman" w:cs="Times New Roman"/>
          <w:sz w:val="24"/>
          <w:szCs w:val="24"/>
        </w:rPr>
        <w:t>members</w:t>
      </w:r>
      <w:r w:rsidRPr="009A0CA9">
        <w:rPr>
          <w:rFonts w:ascii="Times New Roman" w:eastAsia="Times New Roman" w:hAnsi="Times New Roman" w:cs="Times New Roman"/>
          <w:sz w:val="24"/>
          <w:szCs w:val="24"/>
        </w:rPr>
        <w:t xml:space="preserve">. </w:t>
      </w:r>
    </w:p>
    <w:p w:rsidR="002D2354" w:rsidRPr="002D2354" w:rsidRDefault="009A0CA9" w:rsidP="002D2354">
      <w:pPr>
        <w:pStyle w:val="ListParagraph"/>
        <w:numPr>
          <w:ilvl w:val="1"/>
          <w:numId w:val="9"/>
        </w:numPr>
        <w:spacing w:after="156" w:line="360" w:lineRule="auto"/>
        <w:ind w:left="567" w:hanging="56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T</w:t>
      </w:r>
      <w:r w:rsidR="008B7921" w:rsidRPr="009A0CA9">
        <w:rPr>
          <w:rFonts w:ascii="Times New Roman" w:eastAsia="Times New Roman" w:hAnsi="Times New Roman" w:cs="Times New Roman"/>
          <w:sz w:val="24"/>
          <w:szCs w:val="24"/>
        </w:rPr>
        <w:t xml:space="preserve">hat pensioners </w:t>
      </w:r>
      <w:r w:rsidR="006A6632" w:rsidRPr="009A0CA9">
        <w:rPr>
          <w:rFonts w:ascii="Times New Roman" w:eastAsia="Times New Roman" w:hAnsi="Times New Roman" w:cs="Times New Roman"/>
          <w:sz w:val="24"/>
          <w:szCs w:val="24"/>
        </w:rPr>
        <w:t>make t</w:t>
      </w:r>
      <w:r w:rsidR="008B7921" w:rsidRPr="009A0CA9">
        <w:rPr>
          <w:rFonts w:ascii="Times New Roman" w:eastAsia="Times New Roman" w:hAnsi="Times New Roman" w:cs="Times New Roman"/>
          <w:sz w:val="24"/>
          <w:szCs w:val="24"/>
        </w:rPr>
        <w:t>he majority of the contributions in</w:t>
      </w:r>
      <w:r w:rsidR="006A6632" w:rsidRPr="009A0CA9">
        <w:rPr>
          <w:rFonts w:ascii="Times New Roman" w:eastAsia="Times New Roman" w:hAnsi="Times New Roman" w:cs="Times New Roman"/>
          <w:sz w:val="24"/>
          <w:szCs w:val="24"/>
        </w:rPr>
        <w:t xml:space="preserve">to the </w:t>
      </w:r>
      <w:r w:rsidR="008B7921" w:rsidRPr="009A0CA9">
        <w:rPr>
          <w:rFonts w:ascii="Times New Roman" w:eastAsia="Times New Roman" w:hAnsi="Times New Roman" w:cs="Times New Roman"/>
          <w:sz w:val="24"/>
          <w:szCs w:val="24"/>
        </w:rPr>
        <w:t xml:space="preserve">Policyholder and </w:t>
      </w:r>
      <w:r w:rsidR="006A6632" w:rsidRPr="009A0CA9">
        <w:rPr>
          <w:rFonts w:ascii="Times New Roman" w:eastAsia="Times New Roman" w:hAnsi="Times New Roman" w:cs="Times New Roman"/>
          <w:sz w:val="24"/>
          <w:szCs w:val="24"/>
        </w:rPr>
        <w:t>Pensions and</w:t>
      </w:r>
      <w:r w:rsidR="002E6AA0">
        <w:rPr>
          <w:rFonts w:ascii="Times New Roman" w:eastAsia="Times New Roman" w:hAnsi="Times New Roman" w:cs="Times New Roman"/>
          <w:sz w:val="24"/>
          <w:szCs w:val="24"/>
        </w:rPr>
        <w:t xml:space="preserve"> Provident Fund Protection Fund, hence the need t</w:t>
      </w:r>
      <w:r w:rsidR="002E6AA0" w:rsidRPr="002E6AA0">
        <w:rPr>
          <w:rFonts w:ascii="Times New Roman" w:eastAsia="Times New Roman" w:hAnsi="Times New Roman" w:cs="Times New Roman"/>
          <w:sz w:val="24"/>
          <w:szCs w:val="24"/>
        </w:rPr>
        <w:t>o review the composition of the board</w:t>
      </w:r>
      <w:r w:rsidR="002E6AA0">
        <w:rPr>
          <w:rFonts w:ascii="Times New Roman" w:eastAsia="Times New Roman" w:hAnsi="Times New Roman" w:cs="Times New Roman"/>
          <w:sz w:val="24"/>
          <w:szCs w:val="24"/>
        </w:rPr>
        <w:t xml:space="preserve"> to also include </w:t>
      </w:r>
      <w:r w:rsidR="002E6AA0" w:rsidRPr="002E6AA0">
        <w:rPr>
          <w:rFonts w:ascii="Times New Roman" w:eastAsia="Times New Roman" w:hAnsi="Times New Roman" w:cs="Times New Roman"/>
          <w:sz w:val="24"/>
          <w:szCs w:val="24"/>
        </w:rPr>
        <w:t xml:space="preserve">a “pensioner,” who will then ensure that the interests of other pensioners are represented in the Board. </w:t>
      </w:r>
    </w:p>
    <w:p w:rsidR="002D2354" w:rsidRPr="002D2354" w:rsidRDefault="009A0CA9" w:rsidP="002D2354">
      <w:pPr>
        <w:pStyle w:val="ListParagraph"/>
        <w:numPr>
          <w:ilvl w:val="1"/>
          <w:numId w:val="9"/>
        </w:numPr>
        <w:spacing w:after="156" w:line="360" w:lineRule="auto"/>
        <w:ind w:left="567" w:hanging="567"/>
        <w:jc w:val="both"/>
        <w:rPr>
          <w:rFonts w:ascii="Times New Roman" w:eastAsia="Times New Roman" w:hAnsi="Times New Roman" w:cs="Times New Roman"/>
          <w:b/>
          <w:sz w:val="24"/>
          <w:szCs w:val="24"/>
        </w:rPr>
      </w:pPr>
      <w:r w:rsidRPr="002D2354">
        <w:rPr>
          <w:rFonts w:ascii="Times New Roman" w:eastAsia="Times New Roman" w:hAnsi="Times New Roman" w:cs="Times New Roman"/>
          <w:sz w:val="24"/>
          <w:szCs w:val="24"/>
        </w:rPr>
        <w:t xml:space="preserve">That the </w:t>
      </w:r>
      <w:r w:rsidR="006A6632" w:rsidRPr="002D2354">
        <w:rPr>
          <w:rFonts w:ascii="Times New Roman" w:eastAsia="Times New Roman" w:hAnsi="Times New Roman" w:cs="Times New Roman"/>
          <w:sz w:val="24"/>
          <w:szCs w:val="24"/>
        </w:rPr>
        <w:t xml:space="preserve">proposed 30% allocation of the </w:t>
      </w:r>
      <w:r w:rsidR="008B7921" w:rsidRPr="002D2354">
        <w:rPr>
          <w:rFonts w:ascii="Times New Roman" w:eastAsia="Times New Roman" w:hAnsi="Times New Roman" w:cs="Times New Roman"/>
          <w:sz w:val="24"/>
          <w:szCs w:val="24"/>
        </w:rPr>
        <w:t xml:space="preserve">Policyholders and </w:t>
      </w:r>
      <w:r w:rsidR="006A6632" w:rsidRPr="002D2354">
        <w:rPr>
          <w:rFonts w:ascii="Times New Roman" w:eastAsia="Times New Roman" w:hAnsi="Times New Roman" w:cs="Times New Roman"/>
          <w:sz w:val="24"/>
          <w:szCs w:val="24"/>
        </w:rPr>
        <w:t xml:space="preserve">Pensions and Provident Fund Protection Fund yearly income to the Board’s expenditure was rather exorbitant and possibly detrimental to the Fund’s effective execution of its mandate. </w:t>
      </w:r>
    </w:p>
    <w:p w:rsidR="009A0CA9" w:rsidRPr="009A0CA9" w:rsidRDefault="009A0CA9" w:rsidP="009A0CA9">
      <w:pPr>
        <w:pStyle w:val="ListParagraph"/>
        <w:numPr>
          <w:ilvl w:val="1"/>
          <w:numId w:val="9"/>
        </w:numPr>
        <w:spacing w:after="156" w:line="360" w:lineRule="auto"/>
        <w:ind w:left="567" w:hanging="56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That t</w:t>
      </w:r>
      <w:r w:rsidR="008B7921" w:rsidRPr="009A0CA9">
        <w:rPr>
          <w:rFonts w:ascii="Times New Roman" w:eastAsia="Times New Roman" w:hAnsi="Times New Roman" w:cs="Times New Roman"/>
          <w:sz w:val="24"/>
          <w:szCs w:val="24"/>
        </w:rPr>
        <w:t>h</w:t>
      </w:r>
      <w:r w:rsidR="006A6632" w:rsidRPr="009A0CA9">
        <w:rPr>
          <w:rFonts w:ascii="Times New Roman" w:eastAsia="Times New Roman" w:hAnsi="Times New Roman" w:cs="Times New Roman"/>
          <w:sz w:val="24"/>
          <w:szCs w:val="24"/>
        </w:rPr>
        <w:t>e r</w:t>
      </w:r>
      <w:r w:rsidR="00214ABB" w:rsidRPr="009A0CA9">
        <w:rPr>
          <w:rFonts w:ascii="Times New Roman" w:eastAsia="Times New Roman" w:hAnsi="Times New Roman" w:cs="Times New Roman"/>
          <w:sz w:val="24"/>
          <w:szCs w:val="24"/>
        </w:rPr>
        <w:t>ole of the</w:t>
      </w:r>
      <w:r w:rsidR="008B7921" w:rsidRPr="009A0CA9">
        <w:rPr>
          <w:rFonts w:ascii="Times New Roman" w:eastAsia="Times New Roman" w:hAnsi="Times New Roman" w:cs="Times New Roman"/>
          <w:sz w:val="24"/>
          <w:szCs w:val="24"/>
        </w:rPr>
        <w:t xml:space="preserve"> </w:t>
      </w:r>
      <w:r w:rsidR="00214ABB" w:rsidRPr="009A0CA9">
        <w:rPr>
          <w:rFonts w:ascii="Times New Roman" w:eastAsia="Times New Roman" w:hAnsi="Times New Roman" w:cs="Times New Roman"/>
          <w:sz w:val="24"/>
          <w:szCs w:val="24"/>
        </w:rPr>
        <w:t xml:space="preserve">responsible </w:t>
      </w:r>
      <w:r w:rsidR="006A6632" w:rsidRPr="009A0CA9">
        <w:rPr>
          <w:rFonts w:ascii="Times New Roman" w:eastAsia="Times New Roman" w:hAnsi="Times New Roman" w:cs="Times New Roman"/>
          <w:sz w:val="24"/>
          <w:szCs w:val="24"/>
        </w:rPr>
        <w:t>Ministe</w:t>
      </w:r>
      <w:r>
        <w:rPr>
          <w:rFonts w:ascii="Times New Roman" w:eastAsia="Times New Roman" w:hAnsi="Times New Roman" w:cs="Times New Roman"/>
          <w:sz w:val="24"/>
          <w:szCs w:val="24"/>
        </w:rPr>
        <w:t>r after receiving appeals from i</w:t>
      </w:r>
      <w:r w:rsidR="006A6632" w:rsidRPr="009A0CA9">
        <w:rPr>
          <w:rFonts w:ascii="Times New Roman" w:eastAsia="Times New Roman" w:hAnsi="Times New Roman" w:cs="Times New Roman"/>
          <w:sz w:val="24"/>
          <w:szCs w:val="24"/>
        </w:rPr>
        <w:t>nsurers were not provided for in the Bill. Th</w:t>
      </w:r>
      <w:r w:rsidR="00214ABB" w:rsidRPr="009A0CA9">
        <w:rPr>
          <w:rFonts w:ascii="Times New Roman" w:eastAsia="Times New Roman" w:hAnsi="Times New Roman" w:cs="Times New Roman"/>
          <w:sz w:val="24"/>
          <w:szCs w:val="24"/>
        </w:rPr>
        <w:t xml:space="preserve">is would give rise to vagueness, inconsistencies in the processing of the appeals impacting on the </w:t>
      </w:r>
      <w:r w:rsidR="006A6632" w:rsidRPr="009A0CA9">
        <w:rPr>
          <w:rFonts w:ascii="Times New Roman" w:eastAsia="Times New Roman" w:hAnsi="Times New Roman" w:cs="Times New Roman"/>
          <w:sz w:val="24"/>
          <w:szCs w:val="24"/>
        </w:rPr>
        <w:t xml:space="preserve">credibility of the appeals process. </w:t>
      </w:r>
    </w:p>
    <w:p w:rsidR="00D1153F" w:rsidRPr="00671871" w:rsidRDefault="009A0CA9" w:rsidP="00D1153F">
      <w:pPr>
        <w:pStyle w:val="ListParagraph"/>
        <w:numPr>
          <w:ilvl w:val="1"/>
          <w:numId w:val="9"/>
        </w:numPr>
        <w:spacing w:after="156" w:line="360" w:lineRule="auto"/>
        <w:ind w:left="567" w:hanging="56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That t</w:t>
      </w:r>
      <w:r w:rsidR="006A6632" w:rsidRPr="009A0CA9">
        <w:rPr>
          <w:rFonts w:ascii="Times New Roman" w:eastAsia="Times New Roman" w:hAnsi="Times New Roman" w:cs="Times New Roman"/>
          <w:sz w:val="24"/>
          <w:szCs w:val="24"/>
        </w:rPr>
        <w:t xml:space="preserve">he roles and duties </w:t>
      </w:r>
      <w:r w:rsidR="00214ABB" w:rsidRPr="009A0CA9">
        <w:rPr>
          <w:rFonts w:ascii="Times New Roman" w:eastAsia="Times New Roman" w:hAnsi="Times New Roman" w:cs="Times New Roman"/>
          <w:sz w:val="24"/>
          <w:szCs w:val="24"/>
        </w:rPr>
        <w:t xml:space="preserve">of the two </w:t>
      </w:r>
      <w:r w:rsidR="006A6632" w:rsidRPr="009A0CA9">
        <w:rPr>
          <w:rFonts w:ascii="Times New Roman" w:eastAsia="Times New Roman" w:hAnsi="Times New Roman" w:cs="Times New Roman"/>
          <w:sz w:val="24"/>
          <w:szCs w:val="24"/>
        </w:rPr>
        <w:t xml:space="preserve">standing Committees </w:t>
      </w:r>
      <w:r w:rsidR="00214ABB" w:rsidRPr="009A0CA9">
        <w:rPr>
          <w:rFonts w:ascii="Times New Roman" w:eastAsia="Times New Roman" w:hAnsi="Times New Roman" w:cs="Times New Roman"/>
          <w:sz w:val="24"/>
          <w:szCs w:val="24"/>
        </w:rPr>
        <w:t xml:space="preserve">that the </w:t>
      </w:r>
      <w:r w:rsidR="006A6632" w:rsidRPr="009A0CA9">
        <w:rPr>
          <w:rFonts w:ascii="Times New Roman" w:eastAsia="Times New Roman" w:hAnsi="Times New Roman" w:cs="Times New Roman"/>
          <w:sz w:val="24"/>
          <w:szCs w:val="24"/>
        </w:rPr>
        <w:t xml:space="preserve">Board </w:t>
      </w:r>
      <w:r w:rsidR="00214ABB" w:rsidRPr="009A0CA9">
        <w:rPr>
          <w:rFonts w:ascii="Times New Roman" w:eastAsia="Times New Roman" w:hAnsi="Times New Roman" w:cs="Times New Roman"/>
          <w:sz w:val="24"/>
          <w:szCs w:val="24"/>
        </w:rPr>
        <w:t xml:space="preserve">may appoint </w:t>
      </w:r>
      <w:r w:rsidR="006A6632" w:rsidRPr="009A0CA9">
        <w:rPr>
          <w:rFonts w:ascii="Times New Roman" w:eastAsia="Times New Roman" w:hAnsi="Times New Roman" w:cs="Times New Roman"/>
          <w:sz w:val="24"/>
          <w:szCs w:val="24"/>
        </w:rPr>
        <w:t xml:space="preserve">were </w:t>
      </w:r>
      <w:r w:rsidR="00214ABB" w:rsidRPr="009A0CA9">
        <w:rPr>
          <w:rFonts w:ascii="Times New Roman" w:eastAsia="Times New Roman" w:hAnsi="Times New Roman" w:cs="Times New Roman"/>
          <w:sz w:val="24"/>
          <w:szCs w:val="24"/>
        </w:rPr>
        <w:t>not elaborated in</w:t>
      </w:r>
      <w:r w:rsidR="006A6632" w:rsidRPr="009A0CA9">
        <w:rPr>
          <w:rFonts w:ascii="Times New Roman" w:eastAsia="Times New Roman" w:hAnsi="Times New Roman" w:cs="Times New Roman"/>
          <w:sz w:val="24"/>
          <w:szCs w:val="24"/>
        </w:rPr>
        <w:t xml:space="preserve"> the Bill, hence the need to make sure that the duties are clearly articulated for the avoidance of doubt.</w:t>
      </w:r>
    </w:p>
    <w:p w:rsidR="00671871" w:rsidRPr="00D1153F" w:rsidRDefault="00671871" w:rsidP="00671871">
      <w:pPr>
        <w:pStyle w:val="ListParagraph"/>
        <w:spacing w:after="156" w:line="360" w:lineRule="auto"/>
        <w:ind w:left="567"/>
        <w:jc w:val="both"/>
        <w:rPr>
          <w:rFonts w:ascii="Times New Roman" w:eastAsia="Times New Roman" w:hAnsi="Times New Roman" w:cs="Times New Roman"/>
          <w:b/>
          <w:sz w:val="24"/>
          <w:szCs w:val="24"/>
        </w:rPr>
      </w:pPr>
    </w:p>
    <w:p w:rsidR="00D1153F" w:rsidRDefault="006A6632" w:rsidP="00D1153F">
      <w:pPr>
        <w:pStyle w:val="ListParagraph"/>
        <w:numPr>
          <w:ilvl w:val="0"/>
          <w:numId w:val="9"/>
        </w:numPr>
        <w:spacing w:after="156" w:line="360" w:lineRule="auto"/>
        <w:ind w:left="567" w:hanging="567"/>
        <w:jc w:val="both"/>
        <w:rPr>
          <w:rFonts w:ascii="Times New Roman" w:eastAsia="Times New Roman" w:hAnsi="Times New Roman" w:cs="Times New Roman"/>
          <w:b/>
          <w:sz w:val="24"/>
          <w:szCs w:val="24"/>
        </w:rPr>
      </w:pPr>
      <w:r w:rsidRPr="00D1153F">
        <w:rPr>
          <w:rFonts w:ascii="Times New Roman" w:eastAsia="Times New Roman" w:hAnsi="Times New Roman" w:cs="Times New Roman"/>
          <w:b/>
          <w:sz w:val="24"/>
          <w:szCs w:val="24"/>
        </w:rPr>
        <w:t>Committee Recommendations</w:t>
      </w:r>
    </w:p>
    <w:p w:rsidR="002D2354" w:rsidRPr="000E5843" w:rsidRDefault="000E5843" w:rsidP="002D2354">
      <w:pPr>
        <w:pStyle w:val="ListParagraph"/>
        <w:numPr>
          <w:ilvl w:val="1"/>
          <w:numId w:val="9"/>
        </w:numPr>
        <w:spacing w:after="156" w:line="360" w:lineRule="auto"/>
        <w:ind w:left="567" w:hanging="56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That the definition of terms section in the Bill be exhaustive of all the words that can create confusion in the implementation of the Act, such as that of ‘asset.’ </w:t>
      </w:r>
    </w:p>
    <w:p w:rsidR="002D2354" w:rsidRPr="002D2354" w:rsidRDefault="002D2354" w:rsidP="002D2354">
      <w:pPr>
        <w:pStyle w:val="ListParagraph"/>
        <w:numPr>
          <w:ilvl w:val="1"/>
          <w:numId w:val="9"/>
        </w:numPr>
        <w:spacing w:after="156" w:line="360" w:lineRule="auto"/>
        <w:ind w:left="567" w:hanging="567"/>
        <w:jc w:val="both"/>
        <w:rPr>
          <w:rFonts w:ascii="Times New Roman" w:eastAsia="Times New Roman" w:hAnsi="Times New Roman" w:cs="Times New Roman"/>
          <w:b/>
          <w:sz w:val="24"/>
          <w:szCs w:val="24"/>
        </w:rPr>
      </w:pPr>
      <w:r w:rsidRPr="002D2354">
        <w:rPr>
          <w:rFonts w:ascii="Times New Roman" w:eastAsia="Times New Roman" w:hAnsi="Times New Roman" w:cs="Times New Roman"/>
          <w:color w:val="000000"/>
          <w:sz w:val="24"/>
          <w:szCs w:val="24"/>
        </w:rPr>
        <w:t xml:space="preserve">That the Policyholder and Pensions and Provident Fund should be administered by a separate board comprising the Commissioner of IPEC and up to seven other members </w:t>
      </w:r>
      <w:r w:rsidRPr="002D2354">
        <w:rPr>
          <w:rFonts w:ascii="Times New Roman" w:eastAsia="Times New Roman" w:hAnsi="Times New Roman" w:cs="Times New Roman"/>
          <w:color w:val="000000"/>
          <w:sz w:val="24"/>
          <w:szCs w:val="24"/>
        </w:rPr>
        <w:lastRenderedPageBreak/>
        <w:t xml:space="preserve">appointed by the Minister and the Fund should be financed primarily from contributions by insurers and pension and provident funds. </w:t>
      </w:r>
    </w:p>
    <w:p w:rsidR="002D2354" w:rsidRPr="002D2354" w:rsidRDefault="002D2354" w:rsidP="002D2354">
      <w:pPr>
        <w:pStyle w:val="ListParagraph"/>
        <w:numPr>
          <w:ilvl w:val="1"/>
          <w:numId w:val="9"/>
        </w:numPr>
        <w:spacing w:after="156" w:line="360" w:lineRule="auto"/>
        <w:ind w:left="567" w:hanging="567"/>
        <w:jc w:val="both"/>
        <w:rPr>
          <w:rFonts w:ascii="Times New Roman" w:eastAsia="Times New Roman" w:hAnsi="Times New Roman" w:cs="Times New Roman"/>
          <w:b/>
          <w:sz w:val="24"/>
          <w:szCs w:val="24"/>
        </w:rPr>
      </w:pPr>
      <w:r w:rsidRPr="002D2354">
        <w:rPr>
          <w:rFonts w:ascii="Times New Roman" w:eastAsia="Times New Roman" w:hAnsi="Times New Roman" w:cs="Times New Roman"/>
          <w:sz w:val="24"/>
          <w:szCs w:val="24"/>
        </w:rPr>
        <w:t>There is need to reduce the limit on expenditure on staff remuneration and allowances from the proposed 30 % of the Fund’s annual income to 10%. The 10% should also cover the sitting allowances of the Board members.</w:t>
      </w:r>
    </w:p>
    <w:p w:rsidR="00D1153F" w:rsidRPr="00D1153F" w:rsidRDefault="006A6632" w:rsidP="000E5843">
      <w:pPr>
        <w:pStyle w:val="ListParagraph"/>
        <w:numPr>
          <w:ilvl w:val="1"/>
          <w:numId w:val="9"/>
        </w:numPr>
        <w:spacing w:after="156" w:line="360" w:lineRule="auto"/>
        <w:ind w:left="567" w:hanging="567"/>
        <w:jc w:val="both"/>
        <w:rPr>
          <w:rFonts w:ascii="Times New Roman" w:eastAsia="Times New Roman" w:hAnsi="Times New Roman" w:cs="Times New Roman"/>
          <w:b/>
          <w:sz w:val="24"/>
          <w:szCs w:val="24"/>
        </w:rPr>
      </w:pPr>
      <w:r w:rsidRPr="00D1153F">
        <w:rPr>
          <w:rFonts w:ascii="Times New Roman" w:eastAsia="Times New Roman" w:hAnsi="Times New Roman" w:cs="Times New Roman"/>
          <w:sz w:val="24"/>
          <w:szCs w:val="24"/>
        </w:rPr>
        <w:t xml:space="preserve">The insurers must have a say in the selection and appointment of the Pensions and Provident Fund Protection Fund </w:t>
      </w:r>
      <w:r w:rsidR="00994C28" w:rsidRPr="00D1153F">
        <w:rPr>
          <w:rFonts w:ascii="Times New Roman" w:eastAsia="Times New Roman" w:hAnsi="Times New Roman" w:cs="Times New Roman"/>
          <w:sz w:val="24"/>
          <w:szCs w:val="24"/>
        </w:rPr>
        <w:t>Management</w:t>
      </w:r>
      <w:r w:rsidRPr="00D1153F">
        <w:rPr>
          <w:rFonts w:ascii="Times New Roman" w:eastAsia="Times New Roman" w:hAnsi="Times New Roman" w:cs="Times New Roman"/>
          <w:sz w:val="24"/>
          <w:szCs w:val="24"/>
        </w:rPr>
        <w:t xml:space="preserve"> Board since they will be making the bulk of the contributions.</w:t>
      </w:r>
      <w:r w:rsidR="000E5843" w:rsidRPr="000E5843">
        <w:rPr>
          <w:rFonts w:ascii="Times New Roman" w:eastAsia="Times New Roman" w:hAnsi="Times New Roman" w:cs="Times New Roman"/>
          <w:sz w:val="24"/>
          <w:szCs w:val="24"/>
        </w:rPr>
        <w:t xml:space="preserve"> </w:t>
      </w:r>
      <w:r w:rsidR="000E5843">
        <w:rPr>
          <w:rFonts w:ascii="Times New Roman" w:eastAsia="Times New Roman" w:hAnsi="Times New Roman" w:cs="Times New Roman"/>
          <w:sz w:val="24"/>
          <w:szCs w:val="24"/>
        </w:rPr>
        <w:t>Reference can be</w:t>
      </w:r>
      <w:r w:rsidR="000E5843" w:rsidRPr="002D2354">
        <w:rPr>
          <w:rFonts w:ascii="Times New Roman" w:eastAsia="Times New Roman" w:hAnsi="Times New Roman" w:cs="Times New Roman"/>
          <w:sz w:val="24"/>
          <w:szCs w:val="24"/>
        </w:rPr>
        <w:t xml:space="preserve"> made to the appointment of Board members of the Deposit Protection Corporation Board where contributory institutions have a role to play in appointments.</w:t>
      </w:r>
    </w:p>
    <w:p w:rsidR="00D1153F" w:rsidRPr="00D1153F" w:rsidRDefault="006A6632" w:rsidP="00D1153F">
      <w:pPr>
        <w:pStyle w:val="ListParagraph"/>
        <w:numPr>
          <w:ilvl w:val="1"/>
          <w:numId w:val="9"/>
        </w:numPr>
        <w:spacing w:after="156" w:line="360" w:lineRule="auto"/>
        <w:ind w:left="567" w:hanging="567"/>
        <w:jc w:val="both"/>
        <w:rPr>
          <w:rFonts w:ascii="Times New Roman" w:eastAsia="Times New Roman" w:hAnsi="Times New Roman" w:cs="Times New Roman"/>
          <w:b/>
          <w:sz w:val="24"/>
          <w:szCs w:val="24"/>
        </w:rPr>
      </w:pPr>
      <w:r w:rsidRPr="00D1153F">
        <w:rPr>
          <w:rFonts w:ascii="Times New Roman" w:eastAsia="Times New Roman" w:hAnsi="Times New Roman" w:cs="Times New Roman"/>
          <w:sz w:val="24"/>
          <w:szCs w:val="24"/>
        </w:rPr>
        <w:t xml:space="preserve">The reduction of the limit on expenditure on staff remuneration and allowances from the proposed 30 % of the Fund’s annual income to 10% is of utmost importance to reduce the fund’s expenditure. The 10% should also cover the sitting allowances of the Board members. </w:t>
      </w:r>
    </w:p>
    <w:p w:rsidR="00D1153F" w:rsidRPr="00D1153F" w:rsidRDefault="006A6632" w:rsidP="00D1153F">
      <w:pPr>
        <w:pStyle w:val="ListParagraph"/>
        <w:numPr>
          <w:ilvl w:val="1"/>
          <w:numId w:val="9"/>
        </w:numPr>
        <w:spacing w:after="156" w:line="360" w:lineRule="auto"/>
        <w:ind w:left="567" w:hanging="567"/>
        <w:jc w:val="both"/>
        <w:rPr>
          <w:rFonts w:ascii="Times New Roman" w:eastAsia="Times New Roman" w:hAnsi="Times New Roman" w:cs="Times New Roman"/>
          <w:b/>
          <w:sz w:val="24"/>
          <w:szCs w:val="24"/>
        </w:rPr>
      </w:pPr>
      <w:r w:rsidRPr="00D1153F">
        <w:rPr>
          <w:rFonts w:ascii="Times New Roman" w:eastAsia="Times New Roman" w:hAnsi="Times New Roman" w:cs="Times New Roman"/>
          <w:sz w:val="24"/>
          <w:szCs w:val="24"/>
        </w:rPr>
        <w:t xml:space="preserve">The Minister’s responsibilities once receiving appeals </w:t>
      </w:r>
      <w:r w:rsidR="000E5843">
        <w:rPr>
          <w:rFonts w:ascii="Times New Roman" w:eastAsia="Times New Roman" w:hAnsi="Times New Roman" w:cs="Times New Roman"/>
          <w:sz w:val="24"/>
          <w:szCs w:val="24"/>
        </w:rPr>
        <w:t>from i</w:t>
      </w:r>
      <w:r w:rsidRPr="00D1153F">
        <w:rPr>
          <w:rFonts w:ascii="Times New Roman" w:eastAsia="Times New Roman" w:hAnsi="Times New Roman" w:cs="Times New Roman"/>
          <w:sz w:val="24"/>
          <w:szCs w:val="24"/>
        </w:rPr>
        <w:t>nsurers aggrieved by the Commission’s decisions have to be spelt out in the bill</w:t>
      </w:r>
      <w:r w:rsidR="00994C28" w:rsidRPr="00D1153F">
        <w:rPr>
          <w:rFonts w:ascii="Times New Roman" w:eastAsia="Times New Roman" w:hAnsi="Times New Roman" w:cs="Times New Roman"/>
          <w:sz w:val="24"/>
          <w:szCs w:val="24"/>
        </w:rPr>
        <w:t xml:space="preserve"> or delegated legislation</w:t>
      </w:r>
      <w:r w:rsidRPr="00D1153F">
        <w:rPr>
          <w:rFonts w:ascii="Times New Roman" w:eastAsia="Times New Roman" w:hAnsi="Times New Roman" w:cs="Times New Roman"/>
          <w:sz w:val="24"/>
          <w:szCs w:val="24"/>
        </w:rPr>
        <w:t xml:space="preserve"> to avoid any doubts in handling the appeals process. </w:t>
      </w:r>
    </w:p>
    <w:p w:rsidR="006A6632" w:rsidRPr="00E852A7" w:rsidRDefault="006A6632" w:rsidP="00D1153F">
      <w:pPr>
        <w:pStyle w:val="ListParagraph"/>
        <w:numPr>
          <w:ilvl w:val="1"/>
          <w:numId w:val="9"/>
        </w:numPr>
        <w:spacing w:after="156" w:line="360" w:lineRule="auto"/>
        <w:ind w:left="567" w:hanging="567"/>
        <w:jc w:val="both"/>
        <w:rPr>
          <w:rFonts w:ascii="Times New Roman" w:eastAsia="Times New Roman" w:hAnsi="Times New Roman" w:cs="Times New Roman"/>
          <w:b/>
          <w:sz w:val="24"/>
          <w:szCs w:val="24"/>
        </w:rPr>
      </w:pPr>
      <w:r w:rsidRPr="00D1153F">
        <w:rPr>
          <w:rFonts w:ascii="Times New Roman" w:eastAsia="Times New Roman" w:hAnsi="Times New Roman" w:cs="Times New Roman"/>
          <w:sz w:val="24"/>
          <w:szCs w:val="24"/>
        </w:rPr>
        <w:t>The two</w:t>
      </w:r>
      <w:r w:rsidR="00994C28" w:rsidRPr="00D1153F">
        <w:rPr>
          <w:rFonts w:ascii="Times New Roman" w:eastAsia="Times New Roman" w:hAnsi="Times New Roman" w:cs="Times New Roman"/>
          <w:sz w:val="24"/>
          <w:szCs w:val="24"/>
        </w:rPr>
        <w:t xml:space="preserve"> standing </w:t>
      </w:r>
      <w:r w:rsidRPr="00D1153F">
        <w:rPr>
          <w:rFonts w:ascii="Times New Roman" w:eastAsia="Times New Roman" w:hAnsi="Times New Roman" w:cs="Times New Roman"/>
          <w:sz w:val="24"/>
          <w:szCs w:val="24"/>
        </w:rPr>
        <w:t>Committees</w:t>
      </w:r>
      <w:r w:rsidR="00994C28" w:rsidRPr="00D1153F">
        <w:rPr>
          <w:rFonts w:ascii="Times New Roman" w:eastAsia="Times New Roman" w:hAnsi="Times New Roman" w:cs="Times New Roman"/>
          <w:sz w:val="24"/>
          <w:szCs w:val="24"/>
        </w:rPr>
        <w:t xml:space="preserve"> to be </w:t>
      </w:r>
      <w:r w:rsidRPr="00D1153F">
        <w:rPr>
          <w:rFonts w:ascii="Times New Roman" w:eastAsia="Times New Roman" w:hAnsi="Times New Roman" w:cs="Times New Roman"/>
          <w:sz w:val="24"/>
          <w:szCs w:val="24"/>
        </w:rPr>
        <w:t>set up by the Board should have clearly defined responsibilities and duties.</w:t>
      </w:r>
    </w:p>
    <w:p w:rsidR="00E852A7" w:rsidRPr="00E852A7" w:rsidRDefault="00E852A7" w:rsidP="00E852A7">
      <w:pPr>
        <w:pStyle w:val="ListParagraph"/>
        <w:spacing w:after="156" w:line="360" w:lineRule="auto"/>
        <w:ind w:left="567"/>
        <w:jc w:val="both"/>
        <w:rPr>
          <w:rFonts w:ascii="Times New Roman" w:eastAsia="Times New Roman" w:hAnsi="Times New Roman" w:cs="Times New Roman"/>
          <w:b/>
          <w:sz w:val="24"/>
          <w:szCs w:val="24"/>
        </w:rPr>
      </w:pPr>
    </w:p>
    <w:p w:rsidR="00E852A7" w:rsidRPr="00E852A7" w:rsidRDefault="00E852A7" w:rsidP="00E852A7">
      <w:pPr>
        <w:pStyle w:val="ListParagraph"/>
        <w:numPr>
          <w:ilvl w:val="0"/>
          <w:numId w:val="9"/>
        </w:numPr>
        <w:spacing w:after="156" w:line="360" w:lineRule="auto"/>
        <w:ind w:left="567" w:hanging="567"/>
        <w:jc w:val="both"/>
        <w:rPr>
          <w:rFonts w:ascii="Times New Roman" w:eastAsia="Times New Roman" w:hAnsi="Times New Roman" w:cs="Times New Roman"/>
          <w:b/>
          <w:sz w:val="24"/>
          <w:szCs w:val="24"/>
        </w:rPr>
      </w:pPr>
      <w:r w:rsidRPr="00E852A7">
        <w:rPr>
          <w:rFonts w:ascii="Times New Roman" w:eastAsia="Times New Roman" w:hAnsi="Times New Roman" w:cs="Times New Roman"/>
          <w:b/>
          <w:sz w:val="24"/>
          <w:szCs w:val="24"/>
        </w:rPr>
        <w:t xml:space="preserve">Conclusion </w:t>
      </w:r>
    </w:p>
    <w:p w:rsidR="00E852A7" w:rsidRDefault="00E852A7" w:rsidP="00362E03">
      <w:pPr>
        <w:pStyle w:val="ListParagraph"/>
        <w:numPr>
          <w:ilvl w:val="1"/>
          <w:numId w:val="9"/>
        </w:numPr>
        <w:spacing w:after="156" w:line="36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362E03">
        <w:rPr>
          <w:rFonts w:ascii="Times New Roman" w:eastAsia="Times New Roman" w:hAnsi="Times New Roman" w:cs="Times New Roman"/>
          <w:sz w:val="24"/>
          <w:szCs w:val="24"/>
        </w:rPr>
        <w:t>Insurance</w:t>
      </w:r>
      <w:r>
        <w:rPr>
          <w:rFonts w:ascii="Times New Roman" w:eastAsia="Times New Roman" w:hAnsi="Times New Roman" w:cs="Times New Roman"/>
          <w:sz w:val="24"/>
          <w:szCs w:val="24"/>
        </w:rPr>
        <w:t xml:space="preserve"> Bill is a good law which seeks to address </w:t>
      </w:r>
      <w:r w:rsidR="00362E03">
        <w:rPr>
          <w:rFonts w:ascii="Times New Roman" w:eastAsia="Times New Roman" w:hAnsi="Times New Roman" w:cs="Times New Roman"/>
          <w:sz w:val="24"/>
          <w:szCs w:val="24"/>
        </w:rPr>
        <w:t xml:space="preserve">some of the major discrepancies arising from the policy and legislative gap which has not kept pace with regional and international practice. The sector is a high risk sector which must be adequately regulated to ensure that policyholders and insurers do not encounter losses unnecessarily, especially, due to events that can be protected by the law.  </w:t>
      </w:r>
    </w:p>
    <w:p w:rsidR="00E852A7" w:rsidRPr="00E852A7" w:rsidRDefault="00E852A7" w:rsidP="00E852A7">
      <w:pPr>
        <w:pStyle w:val="ListParagraph"/>
        <w:numPr>
          <w:ilvl w:val="1"/>
          <w:numId w:val="9"/>
        </w:numPr>
        <w:spacing w:after="156" w:line="360" w:lineRule="auto"/>
        <w:ind w:left="567" w:hanging="567"/>
        <w:jc w:val="both"/>
        <w:rPr>
          <w:rFonts w:ascii="Times New Roman" w:eastAsia="Times New Roman" w:hAnsi="Times New Roman" w:cs="Times New Roman"/>
          <w:sz w:val="24"/>
          <w:szCs w:val="24"/>
        </w:rPr>
      </w:pPr>
      <w:r w:rsidRPr="00E852A7">
        <w:rPr>
          <w:rFonts w:ascii="Times New Roman" w:eastAsia="Times New Roman" w:hAnsi="Times New Roman" w:cs="Times New Roman"/>
          <w:sz w:val="24"/>
          <w:szCs w:val="24"/>
        </w:rPr>
        <w:t>The</w:t>
      </w:r>
      <w:r>
        <w:rPr>
          <w:rFonts w:ascii="Times New Roman" w:eastAsia="Times New Roman" w:hAnsi="Times New Roman" w:cs="Times New Roman"/>
          <w:sz w:val="24"/>
          <w:szCs w:val="24"/>
        </w:rPr>
        <w:t>refore, the</w:t>
      </w:r>
      <w:r w:rsidRPr="00E852A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Committee fully supports the passage of the Insurance Bill together with the proposed amendments as highlighted in this report. </w:t>
      </w:r>
    </w:p>
    <w:p w:rsidR="006A6632" w:rsidRDefault="006A6632" w:rsidP="00951748">
      <w:pPr>
        <w:spacing w:after="156" w:line="360" w:lineRule="auto"/>
        <w:jc w:val="both"/>
        <w:rPr>
          <w:rFonts w:ascii="Times New Roman" w:eastAsia="Times New Roman" w:hAnsi="Times New Roman" w:cs="Times New Roman"/>
          <w:sz w:val="24"/>
          <w:szCs w:val="24"/>
        </w:rPr>
      </w:pPr>
    </w:p>
    <w:sectPr w:rsidR="006A6632">
      <w:footerReference w:type="default" r:id="rId8"/>
      <w:pgSz w:w="11906" w:h="16838"/>
      <w:pgMar w:top="1350" w:right="1440" w:bottom="117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0C43" w:rsidRDefault="00830C43">
      <w:pPr>
        <w:spacing w:after="0" w:line="240" w:lineRule="auto"/>
      </w:pPr>
      <w:r>
        <w:separator/>
      </w:r>
    </w:p>
  </w:endnote>
  <w:endnote w:type="continuationSeparator" w:id="0">
    <w:p w:rsidR="00830C43" w:rsidRDefault="00830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6E8" w:rsidRDefault="009D36E8">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7F6782">
      <w:rPr>
        <w:noProof/>
        <w:color w:val="000000"/>
      </w:rPr>
      <w:t>1</w:t>
    </w:r>
    <w:r>
      <w:rPr>
        <w:color w:val="000000"/>
      </w:rPr>
      <w:fldChar w:fldCharType="end"/>
    </w:r>
  </w:p>
  <w:p w:rsidR="009D36E8" w:rsidRDefault="009D36E8">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0C43" w:rsidRDefault="00830C43">
      <w:pPr>
        <w:spacing w:after="0" w:line="240" w:lineRule="auto"/>
      </w:pPr>
      <w:r>
        <w:separator/>
      </w:r>
    </w:p>
  </w:footnote>
  <w:footnote w:type="continuationSeparator" w:id="0">
    <w:p w:rsidR="00830C43" w:rsidRDefault="00830C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B5DC5"/>
    <w:multiLevelType w:val="multilevel"/>
    <w:tmpl w:val="24B6E4C6"/>
    <w:lvl w:ilvl="0">
      <w:start w:val="1"/>
      <w:numFmt w:val="decimal"/>
      <w:lvlText w:val="%1.0"/>
      <w:lvlJc w:val="left"/>
      <w:pPr>
        <w:ind w:left="360" w:hanging="360"/>
      </w:pPr>
      <w:rPr>
        <w:rFonts w:hint="default"/>
        <w:b w:val="0"/>
        <w:color w:val="00000A"/>
      </w:rPr>
    </w:lvl>
    <w:lvl w:ilvl="1">
      <w:start w:val="1"/>
      <w:numFmt w:val="decimal"/>
      <w:lvlText w:val="%1.%2"/>
      <w:lvlJc w:val="left"/>
      <w:pPr>
        <w:ind w:left="1080" w:hanging="360"/>
      </w:pPr>
      <w:rPr>
        <w:rFonts w:hint="default"/>
        <w:b w:val="0"/>
        <w:color w:val="00000A"/>
      </w:rPr>
    </w:lvl>
    <w:lvl w:ilvl="2">
      <w:start w:val="1"/>
      <w:numFmt w:val="decimal"/>
      <w:lvlText w:val="%1.%2.%3"/>
      <w:lvlJc w:val="left"/>
      <w:pPr>
        <w:ind w:left="4973" w:hanging="720"/>
      </w:pPr>
      <w:rPr>
        <w:rFonts w:hint="default"/>
        <w:b w:val="0"/>
        <w:color w:val="00000A"/>
      </w:rPr>
    </w:lvl>
    <w:lvl w:ilvl="3">
      <w:start w:val="1"/>
      <w:numFmt w:val="decimal"/>
      <w:lvlText w:val="%1.%2.%3.%4"/>
      <w:lvlJc w:val="left"/>
      <w:pPr>
        <w:ind w:left="2880" w:hanging="720"/>
      </w:pPr>
      <w:rPr>
        <w:rFonts w:hint="default"/>
        <w:b w:val="0"/>
        <w:color w:val="00000A"/>
      </w:rPr>
    </w:lvl>
    <w:lvl w:ilvl="4">
      <w:start w:val="1"/>
      <w:numFmt w:val="decimal"/>
      <w:lvlText w:val="%1.%2.%3.%4.%5"/>
      <w:lvlJc w:val="left"/>
      <w:pPr>
        <w:ind w:left="3960" w:hanging="1080"/>
      </w:pPr>
      <w:rPr>
        <w:rFonts w:hint="default"/>
        <w:b w:val="0"/>
        <w:color w:val="00000A"/>
      </w:rPr>
    </w:lvl>
    <w:lvl w:ilvl="5">
      <w:start w:val="1"/>
      <w:numFmt w:val="decimal"/>
      <w:lvlText w:val="%1.%2.%3.%4.%5.%6"/>
      <w:lvlJc w:val="left"/>
      <w:pPr>
        <w:ind w:left="4680" w:hanging="1080"/>
      </w:pPr>
      <w:rPr>
        <w:rFonts w:hint="default"/>
        <w:b w:val="0"/>
        <w:color w:val="00000A"/>
      </w:rPr>
    </w:lvl>
    <w:lvl w:ilvl="6">
      <w:start w:val="1"/>
      <w:numFmt w:val="decimal"/>
      <w:lvlText w:val="%1.%2.%3.%4.%5.%6.%7"/>
      <w:lvlJc w:val="left"/>
      <w:pPr>
        <w:ind w:left="5760" w:hanging="1440"/>
      </w:pPr>
      <w:rPr>
        <w:rFonts w:hint="default"/>
        <w:b w:val="0"/>
        <w:color w:val="00000A"/>
      </w:rPr>
    </w:lvl>
    <w:lvl w:ilvl="7">
      <w:start w:val="1"/>
      <w:numFmt w:val="decimal"/>
      <w:lvlText w:val="%1.%2.%3.%4.%5.%6.%7.%8"/>
      <w:lvlJc w:val="left"/>
      <w:pPr>
        <w:ind w:left="6480" w:hanging="1440"/>
      </w:pPr>
      <w:rPr>
        <w:rFonts w:hint="default"/>
        <w:b w:val="0"/>
        <w:color w:val="00000A"/>
      </w:rPr>
    </w:lvl>
    <w:lvl w:ilvl="8">
      <w:start w:val="1"/>
      <w:numFmt w:val="decimal"/>
      <w:lvlText w:val="%1.%2.%3.%4.%5.%6.%7.%8.%9"/>
      <w:lvlJc w:val="left"/>
      <w:pPr>
        <w:ind w:left="7560" w:hanging="1800"/>
      </w:pPr>
      <w:rPr>
        <w:rFonts w:hint="default"/>
        <w:b w:val="0"/>
        <w:color w:val="00000A"/>
      </w:rPr>
    </w:lvl>
  </w:abstractNum>
  <w:abstractNum w:abstractNumId="1" w15:restartNumberingAfterBreak="0">
    <w:nsid w:val="12B13B5A"/>
    <w:multiLevelType w:val="multilevel"/>
    <w:tmpl w:val="548E3858"/>
    <w:lvl w:ilvl="0">
      <w:start w:val="1"/>
      <w:numFmt w:val="upperRoman"/>
      <w:lvlText w:val="%1."/>
      <w:lvlJc w:val="right"/>
      <w:pPr>
        <w:ind w:left="800" w:hanging="360"/>
      </w:pPr>
    </w:lvl>
    <w:lvl w:ilvl="1">
      <w:start w:val="1"/>
      <w:numFmt w:val="bullet"/>
      <w:lvlText w:val="o"/>
      <w:lvlJc w:val="left"/>
      <w:pPr>
        <w:ind w:left="1520" w:hanging="360"/>
      </w:pPr>
      <w:rPr>
        <w:rFonts w:ascii="Courier New" w:eastAsia="Courier New" w:hAnsi="Courier New" w:cs="Courier New"/>
      </w:rPr>
    </w:lvl>
    <w:lvl w:ilvl="2">
      <w:start w:val="1"/>
      <w:numFmt w:val="bullet"/>
      <w:lvlText w:val="▪"/>
      <w:lvlJc w:val="left"/>
      <w:pPr>
        <w:ind w:left="2240" w:hanging="360"/>
      </w:pPr>
      <w:rPr>
        <w:rFonts w:ascii="Noto Sans Symbols" w:eastAsia="Noto Sans Symbols" w:hAnsi="Noto Sans Symbols" w:cs="Noto Sans Symbols"/>
      </w:rPr>
    </w:lvl>
    <w:lvl w:ilvl="3">
      <w:start w:val="1"/>
      <w:numFmt w:val="bullet"/>
      <w:lvlText w:val="●"/>
      <w:lvlJc w:val="left"/>
      <w:pPr>
        <w:ind w:left="2960" w:hanging="360"/>
      </w:pPr>
      <w:rPr>
        <w:rFonts w:ascii="Noto Sans Symbols" w:eastAsia="Noto Sans Symbols" w:hAnsi="Noto Sans Symbols" w:cs="Noto Sans Symbols"/>
      </w:rPr>
    </w:lvl>
    <w:lvl w:ilvl="4">
      <w:start w:val="1"/>
      <w:numFmt w:val="bullet"/>
      <w:lvlText w:val="o"/>
      <w:lvlJc w:val="left"/>
      <w:pPr>
        <w:ind w:left="3680" w:hanging="360"/>
      </w:pPr>
      <w:rPr>
        <w:rFonts w:ascii="Courier New" w:eastAsia="Courier New" w:hAnsi="Courier New" w:cs="Courier New"/>
      </w:rPr>
    </w:lvl>
    <w:lvl w:ilvl="5">
      <w:start w:val="1"/>
      <w:numFmt w:val="bullet"/>
      <w:lvlText w:val="▪"/>
      <w:lvlJc w:val="left"/>
      <w:pPr>
        <w:ind w:left="4400" w:hanging="360"/>
      </w:pPr>
      <w:rPr>
        <w:rFonts w:ascii="Noto Sans Symbols" w:eastAsia="Noto Sans Symbols" w:hAnsi="Noto Sans Symbols" w:cs="Noto Sans Symbols"/>
      </w:rPr>
    </w:lvl>
    <w:lvl w:ilvl="6">
      <w:start w:val="1"/>
      <w:numFmt w:val="bullet"/>
      <w:lvlText w:val="●"/>
      <w:lvlJc w:val="left"/>
      <w:pPr>
        <w:ind w:left="5120" w:hanging="360"/>
      </w:pPr>
      <w:rPr>
        <w:rFonts w:ascii="Noto Sans Symbols" w:eastAsia="Noto Sans Symbols" w:hAnsi="Noto Sans Symbols" w:cs="Noto Sans Symbols"/>
      </w:rPr>
    </w:lvl>
    <w:lvl w:ilvl="7">
      <w:start w:val="1"/>
      <w:numFmt w:val="bullet"/>
      <w:lvlText w:val="o"/>
      <w:lvlJc w:val="left"/>
      <w:pPr>
        <w:ind w:left="5840" w:hanging="360"/>
      </w:pPr>
      <w:rPr>
        <w:rFonts w:ascii="Courier New" w:eastAsia="Courier New" w:hAnsi="Courier New" w:cs="Courier New"/>
      </w:rPr>
    </w:lvl>
    <w:lvl w:ilvl="8">
      <w:start w:val="1"/>
      <w:numFmt w:val="bullet"/>
      <w:lvlText w:val="▪"/>
      <w:lvlJc w:val="left"/>
      <w:pPr>
        <w:ind w:left="6560" w:hanging="360"/>
      </w:pPr>
      <w:rPr>
        <w:rFonts w:ascii="Noto Sans Symbols" w:eastAsia="Noto Sans Symbols" w:hAnsi="Noto Sans Symbols" w:cs="Noto Sans Symbols"/>
      </w:rPr>
    </w:lvl>
  </w:abstractNum>
  <w:abstractNum w:abstractNumId="2" w15:restartNumberingAfterBreak="0">
    <w:nsid w:val="13EF728B"/>
    <w:multiLevelType w:val="multilevel"/>
    <w:tmpl w:val="4238E116"/>
    <w:lvl w:ilvl="0">
      <w:start w:val="1"/>
      <w:numFmt w:val="upp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2B55198B"/>
    <w:multiLevelType w:val="multilevel"/>
    <w:tmpl w:val="5A6E7FF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44C50782"/>
    <w:multiLevelType w:val="multilevel"/>
    <w:tmpl w:val="58B2389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BF948F8"/>
    <w:multiLevelType w:val="multilevel"/>
    <w:tmpl w:val="09C4E29C"/>
    <w:lvl w:ilvl="0">
      <w:start w:val="6"/>
      <w:numFmt w:val="decimal"/>
      <w:lvlText w:val="%1"/>
      <w:lvlJc w:val="left"/>
      <w:pPr>
        <w:ind w:left="360" w:hanging="360"/>
      </w:pPr>
    </w:lvl>
    <w:lvl w:ilvl="1">
      <w:start w:val="1"/>
      <w:numFmt w:val="decimal"/>
      <w:lvlText w:val="%1.%2"/>
      <w:lvlJc w:val="left"/>
      <w:pPr>
        <w:ind w:left="120" w:hanging="360"/>
      </w:pPr>
    </w:lvl>
    <w:lvl w:ilvl="2">
      <w:start w:val="1"/>
      <w:numFmt w:val="decimal"/>
      <w:lvlText w:val="%1.%2.%3"/>
      <w:lvlJc w:val="left"/>
      <w:pPr>
        <w:ind w:left="240" w:hanging="720"/>
      </w:pPr>
    </w:lvl>
    <w:lvl w:ilvl="3">
      <w:start w:val="1"/>
      <w:numFmt w:val="decimal"/>
      <w:lvlText w:val="%1.%2.%3.%4"/>
      <w:lvlJc w:val="left"/>
      <w:pPr>
        <w:ind w:left="0" w:hanging="720"/>
      </w:pPr>
    </w:lvl>
    <w:lvl w:ilvl="4">
      <w:start w:val="1"/>
      <w:numFmt w:val="decimal"/>
      <w:lvlText w:val="%1.%2.%3.%4.%5"/>
      <w:lvlJc w:val="left"/>
      <w:pPr>
        <w:ind w:left="120" w:hanging="1080"/>
      </w:pPr>
    </w:lvl>
    <w:lvl w:ilvl="5">
      <w:start w:val="1"/>
      <w:numFmt w:val="decimal"/>
      <w:lvlText w:val="%1.%2.%3.%4.%5.%6"/>
      <w:lvlJc w:val="left"/>
      <w:pPr>
        <w:ind w:left="-120" w:hanging="1080"/>
      </w:pPr>
    </w:lvl>
    <w:lvl w:ilvl="6">
      <w:start w:val="1"/>
      <w:numFmt w:val="decimal"/>
      <w:lvlText w:val="%1.%2.%3.%4.%5.%6.%7"/>
      <w:lvlJc w:val="left"/>
      <w:pPr>
        <w:ind w:left="0" w:hanging="1440"/>
      </w:pPr>
    </w:lvl>
    <w:lvl w:ilvl="7">
      <w:start w:val="1"/>
      <w:numFmt w:val="decimal"/>
      <w:lvlText w:val="%1.%2.%3.%4.%5.%6.%7.%8"/>
      <w:lvlJc w:val="left"/>
      <w:pPr>
        <w:ind w:left="-240" w:hanging="1440"/>
      </w:pPr>
    </w:lvl>
    <w:lvl w:ilvl="8">
      <w:start w:val="1"/>
      <w:numFmt w:val="decimal"/>
      <w:lvlText w:val="%1.%2.%3.%4.%5.%6.%7.%8.%9"/>
      <w:lvlJc w:val="left"/>
      <w:pPr>
        <w:ind w:left="-120" w:hanging="1800"/>
      </w:pPr>
    </w:lvl>
  </w:abstractNum>
  <w:abstractNum w:abstractNumId="6" w15:restartNumberingAfterBreak="0">
    <w:nsid w:val="55AA28C5"/>
    <w:multiLevelType w:val="hybridMultilevel"/>
    <w:tmpl w:val="70C81D78"/>
    <w:lvl w:ilvl="0" w:tplc="7FCADD96">
      <w:start w:val="1"/>
      <w:numFmt w:val="lowerLetter"/>
      <w:lvlText w:val="%1)"/>
      <w:lvlJc w:val="left"/>
      <w:pPr>
        <w:ind w:left="927" w:hanging="360"/>
      </w:pPr>
      <w:rPr>
        <w:rFonts w:hint="default"/>
      </w:rPr>
    </w:lvl>
    <w:lvl w:ilvl="1" w:tplc="30090019" w:tentative="1">
      <w:start w:val="1"/>
      <w:numFmt w:val="lowerLetter"/>
      <w:lvlText w:val="%2."/>
      <w:lvlJc w:val="left"/>
      <w:pPr>
        <w:ind w:left="1647" w:hanging="360"/>
      </w:pPr>
    </w:lvl>
    <w:lvl w:ilvl="2" w:tplc="3009001B" w:tentative="1">
      <w:start w:val="1"/>
      <w:numFmt w:val="lowerRoman"/>
      <w:lvlText w:val="%3."/>
      <w:lvlJc w:val="right"/>
      <w:pPr>
        <w:ind w:left="2367" w:hanging="180"/>
      </w:pPr>
    </w:lvl>
    <w:lvl w:ilvl="3" w:tplc="3009000F" w:tentative="1">
      <w:start w:val="1"/>
      <w:numFmt w:val="decimal"/>
      <w:lvlText w:val="%4."/>
      <w:lvlJc w:val="left"/>
      <w:pPr>
        <w:ind w:left="3087" w:hanging="360"/>
      </w:pPr>
    </w:lvl>
    <w:lvl w:ilvl="4" w:tplc="30090019" w:tentative="1">
      <w:start w:val="1"/>
      <w:numFmt w:val="lowerLetter"/>
      <w:lvlText w:val="%5."/>
      <w:lvlJc w:val="left"/>
      <w:pPr>
        <w:ind w:left="3807" w:hanging="360"/>
      </w:pPr>
    </w:lvl>
    <w:lvl w:ilvl="5" w:tplc="3009001B" w:tentative="1">
      <w:start w:val="1"/>
      <w:numFmt w:val="lowerRoman"/>
      <w:lvlText w:val="%6."/>
      <w:lvlJc w:val="right"/>
      <w:pPr>
        <w:ind w:left="4527" w:hanging="180"/>
      </w:pPr>
    </w:lvl>
    <w:lvl w:ilvl="6" w:tplc="3009000F" w:tentative="1">
      <w:start w:val="1"/>
      <w:numFmt w:val="decimal"/>
      <w:lvlText w:val="%7."/>
      <w:lvlJc w:val="left"/>
      <w:pPr>
        <w:ind w:left="5247" w:hanging="360"/>
      </w:pPr>
    </w:lvl>
    <w:lvl w:ilvl="7" w:tplc="30090019" w:tentative="1">
      <w:start w:val="1"/>
      <w:numFmt w:val="lowerLetter"/>
      <w:lvlText w:val="%8."/>
      <w:lvlJc w:val="left"/>
      <w:pPr>
        <w:ind w:left="5967" w:hanging="360"/>
      </w:pPr>
    </w:lvl>
    <w:lvl w:ilvl="8" w:tplc="3009001B" w:tentative="1">
      <w:start w:val="1"/>
      <w:numFmt w:val="lowerRoman"/>
      <w:lvlText w:val="%9."/>
      <w:lvlJc w:val="right"/>
      <w:pPr>
        <w:ind w:left="6687" w:hanging="180"/>
      </w:pPr>
    </w:lvl>
  </w:abstractNum>
  <w:abstractNum w:abstractNumId="7" w15:restartNumberingAfterBreak="0">
    <w:nsid w:val="64902CD1"/>
    <w:multiLevelType w:val="hybridMultilevel"/>
    <w:tmpl w:val="F286941E"/>
    <w:lvl w:ilvl="0" w:tplc="EF6C8548">
      <w:start w:val="1"/>
      <w:numFmt w:val="bullet"/>
      <w:lvlText w:val="•"/>
      <w:lvlJc w:val="left"/>
      <w:pPr>
        <w:tabs>
          <w:tab w:val="num" w:pos="720"/>
        </w:tabs>
        <w:ind w:left="720" w:hanging="360"/>
      </w:pPr>
      <w:rPr>
        <w:rFonts w:ascii="Times New Roman" w:hAnsi="Times New Roman" w:hint="default"/>
      </w:rPr>
    </w:lvl>
    <w:lvl w:ilvl="1" w:tplc="8A66F776" w:tentative="1">
      <w:start w:val="1"/>
      <w:numFmt w:val="bullet"/>
      <w:lvlText w:val="•"/>
      <w:lvlJc w:val="left"/>
      <w:pPr>
        <w:tabs>
          <w:tab w:val="num" w:pos="1440"/>
        </w:tabs>
        <w:ind w:left="1440" w:hanging="360"/>
      </w:pPr>
      <w:rPr>
        <w:rFonts w:ascii="Times New Roman" w:hAnsi="Times New Roman" w:hint="default"/>
      </w:rPr>
    </w:lvl>
    <w:lvl w:ilvl="2" w:tplc="2594E14A" w:tentative="1">
      <w:start w:val="1"/>
      <w:numFmt w:val="bullet"/>
      <w:lvlText w:val="•"/>
      <w:lvlJc w:val="left"/>
      <w:pPr>
        <w:tabs>
          <w:tab w:val="num" w:pos="2160"/>
        </w:tabs>
        <w:ind w:left="2160" w:hanging="360"/>
      </w:pPr>
      <w:rPr>
        <w:rFonts w:ascii="Times New Roman" w:hAnsi="Times New Roman" w:hint="default"/>
      </w:rPr>
    </w:lvl>
    <w:lvl w:ilvl="3" w:tplc="5F466574" w:tentative="1">
      <w:start w:val="1"/>
      <w:numFmt w:val="bullet"/>
      <w:lvlText w:val="•"/>
      <w:lvlJc w:val="left"/>
      <w:pPr>
        <w:tabs>
          <w:tab w:val="num" w:pos="2880"/>
        </w:tabs>
        <w:ind w:left="2880" w:hanging="360"/>
      </w:pPr>
      <w:rPr>
        <w:rFonts w:ascii="Times New Roman" w:hAnsi="Times New Roman" w:hint="default"/>
      </w:rPr>
    </w:lvl>
    <w:lvl w:ilvl="4" w:tplc="821E3C24" w:tentative="1">
      <w:start w:val="1"/>
      <w:numFmt w:val="bullet"/>
      <w:lvlText w:val="•"/>
      <w:lvlJc w:val="left"/>
      <w:pPr>
        <w:tabs>
          <w:tab w:val="num" w:pos="3600"/>
        </w:tabs>
        <w:ind w:left="3600" w:hanging="360"/>
      </w:pPr>
      <w:rPr>
        <w:rFonts w:ascii="Times New Roman" w:hAnsi="Times New Roman" w:hint="default"/>
      </w:rPr>
    </w:lvl>
    <w:lvl w:ilvl="5" w:tplc="7ADCEEAA" w:tentative="1">
      <w:start w:val="1"/>
      <w:numFmt w:val="bullet"/>
      <w:lvlText w:val="•"/>
      <w:lvlJc w:val="left"/>
      <w:pPr>
        <w:tabs>
          <w:tab w:val="num" w:pos="4320"/>
        </w:tabs>
        <w:ind w:left="4320" w:hanging="360"/>
      </w:pPr>
      <w:rPr>
        <w:rFonts w:ascii="Times New Roman" w:hAnsi="Times New Roman" w:hint="default"/>
      </w:rPr>
    </w:lvl>
    <w:lvl w:ilvl="6" w:tplc="A98C1112" w:tentative="1">
      <w:start w:val="1"/>
      <w:numFmt w:val="bullet"/>
      <w:lvlText w:val="•"/>
      <w:lvlJc w:val="left"/>
      <w:pPr>
        <w:tabs>
          <w:tab w:val="num" w:pos="5040"/>
        </w:tabs>
        <w:ind w:left="5040" w:hanging="360"/>
      </w:pPr>
      <w:rPr>
        <w:rFonts w:ascii="Times New Roman" w:hAnsi="Times New Roman" w:hint="default"/>
      </w:rPr>
    </w:lvl>
    <w:lvl w:ilvl="7" w:tplc="430EC192" w:tentative="1">
      <w:start w:val="1"/>
      <w:numFmt w:val="bullet"/>
      <w:lvlText w:val="•"/>
      <w:lvlJc w:val="left"/>
      <w:pPr>
        <w:tabs>
          <w:tab w:val="num" w:pos="5760"/>
        </w:tabs>
        <w:ind w:left="5760" w:hanging="360"/>
      </w:pPr>
      <w:rPr>
        <w:rFonts w:ascii="Times New Roman" w:hAnsi="Times New Roman" w:hint="default"/>
      </w:rPr>
    </w:lvl>
    <w:lvl w:ilvl="8" w:tplc="A0626A86"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67DA6243"/>
    <w:multiLevelType w:val="multilevel"/>
    <w:tmpl w:val="D21AA4C6"/>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BD81E59"/>
    <w:multiLevelType w:val="multilevel"/>
    <w:tmpl w:val="D0B64C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D423A18"/>
    <w:multiLevelType w:val="multilevel"/>
    <w:tmpl w:val="C9322836"/>
    <w:lvl w:ilvl="0">
      <w:start w:val="5"/>
      <w:numFmt w:val="decimal"/>
      <w:lvlText w:val="%1"/>
      <w:lvlJc w:val="left"/>
      <w:pPr>
        <w:ind w:left="480" w:hanging="480"/>
      </w:pPr>
      <w:rPr>
        <w:rFonts w:ascii="Times New Roman" w:eastAsia="Times New Roman" w:hAnsi="Times New Roman" w:cs="Times New Roman" w:hint="default"/>
      </w:rPr>
    </w:lvl>
    <w:lvl w:ilvl="1">
      <w:start w:val="1"/>
      <w:numFmt w:val="decimal"/>
      <w:lvlText w:val="%1.%2"/>
      <w:lvlJc w:val="left"/>
      <w:pPr>
        <w:ind w:left="480" w:hanging="480"/>
      </w:pPr>
      <w:rPr>
        <w:rFonts w:ascii="Times New Roman" w:eastAsia="Times New Roman" w:hAnsi="Times New Roman" w:cs="Times New Roman" w:hint="default"/>
      </w:rPr>
    </w:lvl>
    <w:lvl w:ilvl="2">
      <w:start w:val="1"/>
      <w:numFmt w:val="decimal"/>
      <w:lvlText w:val="%1.%2.%3"/>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ascii="Times New Roman" w:eastAsia="Times New Roman" w:hAnsi="Times New Roman" w:cs="Times New Roman" w:hint="default"/>
      </w:rPr>
    </w:lvl>
    <w:lvl w:ilvl="4">
      <w:start w:val="1"/>
      <w:numFmt w:val="decimal"/>
      <w:lvlText w:val="%1.%2.%3.%4.%5"/>
      <w:lvlJc w:val="left"/>
      <w:pPr>
        <w:ind w:left="1080" w:hanging="1080"/>
      </w:pPr>
      <w:rPr>
        <w:rFonts w:ascii="Times New Roman" w:eastAsia="Times New Roman" w:hAnsi="Times New Roman" w:cs="Times New Roman" w:hint="default"/>
      </w:rPr>
    </w:lvl>
    <w:lvl w:ilvl="5">
      <w:start w:val="1"/>
      <w:numFmt w:val="decimal"/>
      <w:lvlText w:val="%1.%2.%3.%4.%5.%6"/>
      <w:lvlJc w:val="left"/>
      <w:pPr>
        <w:ind w:left="1080" w:hanging="1080"/>
      </w:pPr>
      <w:rPr>
        <w:rFonts w:ascii="Times New Roman" w:eastAsia="Times New Roman" w:hAnsi="Times New Roman" w:cs="Times New Roman" w:hint="default"/>
      </w:rPr>
    </w:lvl>
    <w:lvl w:ilvl="6">
      <w:start w:val="1"/>
      <w:numFmt w:val="decimal"/>
      <w:lvlText w:val="%1.%2.%3.%4.%5.%6.%7"/>
      <w:lvlJc w:val="left"/>
      <w:pPr>
        <w:ind w:left="1440" w:hanging="1440"/>
      </w:pPr>
      <w:rPr>
        <w:rFonts w:ascii="Times New Roman" w:eastAsia="Times New Roman" w:hAnsi="Times New Roman" w:cs="Times New Roman" w:hint="default"/>
      </w:rPr>
    </w:lvl>
    <w:lvl w:ilvl="7">
      <w:start w:val="1"/>
      <w:numFmt w:val="decimal"/>
      <w:lvlText w:val="%1.%2.%3.%4.%5.%6.%7.%8"/>
      <w:lvlJc w:val="left"/>
      <w:pPr>
        <w:ind w:left="1440" w:hanging="1440"/>
      </w:pPr>
      <w:rPr>
        <w:rFonts w:ascii="Times New Roman" w:eastAsia="Times New Roman" w:hAnsi="Times New Roman" w:cs="Times New Roman" w:hint="default"/>
      </w:rPr>
    </w:lvl>
    <w:lvl w:ilvl="8">
      <w:start w:val="1"/>
      <w:numFmt w:val="decimal"/>
      <w:lvlText w:val="%1.%2.%3.%4.%5.%6.%7.%8.%9"/>
      <w:lvlJc w:val="left"/>
      <w:pPr>
        <w:ind w:left="1800" w:hanging="1800"/>
      </w:pPr>
      <w:rPr>
        <w:rFonts w:ascii="Times New Roman" w:eastAsia="Times New Roman" w:hAnsi="Times New Roman" w:cs="Times New Roman" w:hint="default"/>
      </w:rPr>
    </w:lvl>
  </w:abstractNum>
  <w:abstractNum w:abstractNumId="11" w15:restartNumberingAfterBreak="0">
    <w:nsid w:val="72A6157C"/>
    <w:multiLevelType w:val="multilevel"/>
    <w:tmpl w:val="CE16A5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BA71B14"/>
    <w:multiLevelType w:val="multilevel"/>
    <w:tmpl w:val="F5B002AC"/>
    <w:lvl w:ilvl="0">
      <w:start w:val="1"/>
      <w:numFmt w:val="decimal"/>
      <w:lvlText w:val="%1.0"/>
      <w:lvlJc w:val="left"/>
      <w:pPr>
        <w:ind w:left="0" w:hanging="630"/>
      </w:pPr>
      <w:rPr>
        <w:rFonts w:hint="default"/>
      </w:rPr>
    </w:lvl>
    <w:lvl w:ilvl="1">
      <w:start w:val="1"/>
      <w:numFmt w:val="decimal"/>
      <w:lvlText w:val="%1.%2"/>
      <w:lvlJc w:val="left"/>
      <w:pPr>
        <w:ind w:left="720" w:hanging="63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50" w:hanging="720"/>
      </w:pPr>
      <w:rPr>
        <w:rFonts w:hint="default"/>
      </w:rPr>
    </w:lvl>
    <w:lvl w:ilvl="4">
      <w:start w:val="1"/>
      <w:numFmt w:val="decimal"/>
      <w:lvlText w:val="%1.%2.%3.%4.%5"/>
      <w:lvlJc w:val="left"/>
      <w:pPr>
        <w:ind w:left="3330" w:hanging="1080"/>
      </w:pPr>
      <w:rPr>
        <w:rFonts w:hint="default"/>
      </w:rPr>
    </w:lvl>
    <w:lvl w:ilvl="5">
      <w:start w:val="1"/>
      <w:numFmt w:val="decimal"/>
      <w:lvlText w:val="%1.%2.%3.%4.%5.%6"/>
      <w:lvlJc w:val="left"/>
      <w:pPr>
        <w:ind w:left="4050" w:hanging="108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930" w:hanging="1800"/>
      </w:pPr>
      <w:rPr>
        <w:rFonts w:hint="default"/>
      </w:rPr>
    </w:lvl>
  </w:abstractNum>
  <w:abstractNum w:abstractNumId="13" w15:restartNumberingAfterBreak="0">
    <w:nsid w:val="7C4358A9"/>
    <w:multiLevelType w:val="multilevel"/>
    <w:tmpl w:val="58B2389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8"/>
  </w:num>
  <w:num w:numId="3">
    <w:abstractNumId w:val="11"/>
  </w:num>
  <w:num w:numId="4">
    <w:abstractNumId w:val="9"/>
  </w:num>
  <w:num w:numId="5">
    <w:abstractNumId w:val="4"/>
  </w:num>
  <w:num w:numId="6">
    <w:abstractNumId w:val="5"/>
  </w:num>
  <w:num w:numId="7">
    <w:abstractNumId w:val="2"/>
  </w:num>
  <w:num w:numId="8">
    <w:abstractNumId w:val="12"/>
  </w:num>
  <w:num w:numId="9">
    <w:abstractNumId w:val="0"/>
  </w:num>
  <w:num w:numId="10">
    <w:abstractNumId w:val="3"/>
  </w:num>
  <w:num w:numId="11">
    <w:abstractNumId w:val="6"/>
  </w:num>
  <w:num w:numId="12">
    <w:abstractNumId w:val="7"/>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FD3"/>
    <w:rsid w:val="00045B6D"/>
    <w:rsid w:val="000576DC"/>
    <w:rsid w:val="00092A27"/>
    <w:rsid w:val="000B05EC"/>
    <w:rsid w:val="000B5FAA"/>
    <w:rsid w:val="000D4947"/>
    <w:rsid w:val="000D6CE6"/>
    <w:rsid w:val="000D6F43"/>
    <w:rsid w:val="000E4AE2"/>
    <w:rsid w:val="000E5843"/>
    <w:rsid w:val="000F1E29"/>
    <w:rsid w:val="000F6A97"/>
    <w:rsid w:val="000F6C5C"/>
    <w:rsid w:val="00104E92"/>
    <w:rsid w:val="0010772D"/>
    <w:rsid w:val="001536C9"/>
    <w:rsid w:val="00162DCD"/>
    <w:rsid w:val="00177FDB"/>
    <w:rsid w:val="00193D16"/>
    <w:rsid w:val="0019612A"/>
    <w:rsid w:val="001F39AE"/>
    <w:rsid w:val="00201CBB"/>
    <w:rsid w:val="00206833"/>
    <w:rsid w:val="00212A90"/>
    <w:rsid w:val="00214ABB"/>
    <w:rsid w:val="00215CA1"/>
    <w:rsid w:val="00216132"/>
    <w:rsid w:val="002214A5"/>
    <w:rsid w:val="00247DFD"/>
    <w:rsid w:val="00282372"/>
    <w:rsid w:val="002A542F"/>
    <w:rsid w:val="002B5FA6"/>
    <w:rsid w:val="002C6516"/>
    <w:rsid w:val="002D2354"/>
    <w:rsid w:val="002D3300"/>
    <w:rsid w:val="002E1F64"/>
    <w:rsid w:val="002E6AA0"/>
    <w:rsid w:val="003132B6"/>
    <w:rsid w:val="0031730C"/>
    <w:rsid w:val="00362E03"/>
    <w:rsid w:val="00372FD3"/>
    <w:rsid w:val="00382177"/>
    <w:rsid w:val="003853D6"/>
    <w:rsid w:val="00392220"/>
    <w:rsid w:val="003A1F9F"/>
    <w:rsid w:val="003E62B8"/>
    <w:rsid w:val="003E7440"/>
    <w:rsid w:val="003F6660"/>
    <w:rsid w:val="004131D2"/>
    <w:rsid w:val="00467DFE"/>
    <w:rsid w:val="004F4002"/>
    <w:rsid w:val="00515C7C"/>
    <w:rsid w:val="00517343"/>
    <w:rsid w:val="005419EB"/>
    <w:rsid w:val="00545AD9"/>
    <w:rsid w:val="00571D16"/>
    <w:rsid w:val="00581AB0"/>
    <w:rsid w:val="00592A41"/>
    <w:rsid w:val="005C4C18"/>
    <w:rsid w:val="005D2DF2"/>
    <w:rsid w:val="005D7627"/>
    <w:rsid w:val="00602670"/>
    <w:rsid w:val="00622169"/>
    <w:rsid w:val="006358DF"/>
    <w:rsid w:val="00671871"/>
    <w:rsid w:val="00692AEE"/>
    <w:rsid w:val="006A6632"/>
    <w:rsid w:val="006B15C3"/>
    <w:rsid w:val="006E558F"/>
    <w:rsid w:val="006F62DC"/>
    <w:rsid w:val="00734AE8"/>
    <w:rsid w:val="00752291"/>
    <w:rsid w:val="007545E8"/>
    <w:rsid w:val="00767FC6"/>
    <w:rsid w:val="007D296A"/>
    <w:rsid w:val="007E218B"/>
    <w:rsid w:val="007E2EDF"/>
    <w:rsid w:val="007E696C"/>
    <w:rsid w:val="007F36DB"/>
    <w:rsid w:val="007F6782"/>
    <w:rsid w:val="0080082D"/>
    <w:rsid w:val="008258AD"/>
    <w:rsid w:val="00830C43"/>
    <w:rsid w:val="008735FA"/>
    <w:rsid w:val="008867FD"/>
    <w:rsid w:val="008A5A3C"/>
    <w:rsid w:val="008B0608"/>
    <w:rsid w:val="008B7921"/>
    <w:rsid w:val="00912012"/>
    <w:rsid w:val="00951748"/>
    <w:rsid w:val="00994C28"/>
    <w:rsid w:val="009A0CA9"/>
    <w:rsid w:val="009C5185"/>
    <w:rsid w:val="009D36E8"/>
    <w:rsid w:val="009F02EF"/>
    <w:rsid w:val="009F74B6"/>
    <w:rsid w:val="00A0113F"/>
    <w:rsid w:val="00A15D30"/>
    <w:rsid w:val="00A33542"/>
    <w:rsid w:val="00A456F4"/>
    <w:rsid w:val="00A50C31"/>
    <w:rsid w:val="00A65139"/>
    <w:rsid w:val="00A71090"/>
    <w:rsid w:val="00AD229A"/>
    <w:rsid w:val="00AE163E"/>
    <w:rsid w:val="00AE49F7"/>
    <w:rsid w:val="00B05D84"/>
    <w:rsid w:val="00B123C9"/>
    <w:rsid w:val="00B16537"/>
    <w:rsid w:val="00B21DAA"/>
    <w:rsid w:val="00B2289B"/>
    <w:rsid w:val="00B61E4C"/>
    <w:rsid w:val="00B767E8"/>
    <w:rsid w:val="00B84BFB"/>
    <w:rsid w:val="00BD3B7A"/>
    <w:rsid w:val="00BE17BC"/>
    <w:rsid w:val="00BF2322"/>
    <w:rsid w:val="00C02DF1"/>
    <w:rsid w:val="00C43B1D"/>
    <w:rsid w:val="00C67C99"/>
    <w:rsid w:val="00C74761"/>
    <w:rsid w:val="00C834AE"/>
    <w:rsid w:val="00CA22DF"/>
    <w:rsid w:val="00CD0640"/>
    <w:rsid w:val="00CD596F"/>
    <w:rsid w:val="00CE399F"/>
    <w:rsid w:val="00CE4F7A"/>
    <w:rsid w:val="00CF705A"/>
    <w:rsid w:val="00CF7824"/>
    <w:rsid w:val="00D100B3"/>
    <w:rsid w:val="00D1153F"/>
    <w:rsid w:val="00D33777"/>
    <w:rsid w:val="00D3589C"/>
    <w:rsid w:val="00D473F4"/>
    <w:rsid w:val="00D5400E"/>
    <w:rsid w:val="00D71B55"/>
    <w:rsid w:val="00DC6386"/>
    <w:rsid w:val="00DF3D14"/>
    <w:rsid w:val="00E01095"/>
    <w:rsid w:val="00E11CFE"/>
    <w:rsid w:val="00E16768"/>
    <w:rsid w:val="00E365E6"/>
    <w:rsid w:val="00E53008"/>
    <w:rsid w:val="00E6053E"/>
    <w:rsid w:val="00E819EE"/>
    <w:rsid w:val="00E852A7"/>
    <w:rsid w:val="00E90D48"/>
    <w:rsid w:val="00EA040F"/>
    <w:rsid w:val="00EA58D7"/>
    <w:rsid w:val="00EC0BE6"/>
    <w:rsid w:val="00EC4281"/>
    <w:rsid w:val="00ED2961"/>
    <w:rsid w:val="00EE0DCD"/>
    <w:rsid w:val="00EE18D6"/>
    <w:rsid w:val="00EE38CA"/>
    <w:rsid w:val="00F13F97"/>
    <w:rsid w:val="00F403D1"/>
    <w:rsid w:val="00F640E1"/>
    <w:rsid w:val="00FC7D03"/>
    <w:rsid w:val="00FD331C"/>
    <w:rsid w:val="00FE17D8"/>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206ED0-6CD1-41F1-AB40-341E44926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ZA" w:eastAsia="en-Z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D2354"/>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E605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281761">
      <w:bodyDiv w:val="1"/>
      <w:marLeft w:val="0"/>
      <w:marRight w:val="0"/>
      <w:marTop w:val="0"/>
      <w:marBottom w:val="0"/>
      <w:divBdr>
        <w:top w:val="none" w:sz="0" w:space="0" w:color="auto"/>
        <w:left w:val="none" w:sz="0" w:space="0" w:color="auto"/>
        <w:bottom w:val="none" w:sz="0" w:space="0" w:color="auto"/>
        <w:right w:val="none" w:sz="0" w:space="0" w:color="auto"/>
      </w:divBdr>
      <w:divsChild>
        <w:div w:id="568734365">
          <w:marLeft w:val="547"/>
          <w:marRight w:val="0"/>
          <w:marTop w:val="0"/>
          <w:marBottom w:val="0"/>
          <w:divBdr>
            <w:top w:val="none" w:sz="0" w:space="0" w:color="auto"/>
            <w:left w:val="none" w:sz="0" w:space="0" w:color="auto"/>
            <w:bottom w:val="none" w:sz="0" w:space="0" w:color="auto"/>
            <w:right w:val="none" w:sz="0" w:space="0" w:color="auto"/>
          </w:divBdr>
        </w:div>
        <w:div w:id="20981754">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2912</Words>
  <Characters>16600</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Parliament</dc:creator>
  <cp:lastModifiedBy>Chiwo</cp:lastModifiedBy>
  <cp:revision>2</cp:revision>
  <cp:lastPrinted>2022-04-13T07:42:00Z</cp:lastPrinted>
  <dcterms:created xsi:type="dcterms:W3CDTF">2022-04-20T11:50:00Z</dcterms:created>
  <dcterms:modified xsi:type="dcterms:W3CDTF">2022-04-20T11:50:00Z</dcterms:modified>
</cp:coreProperties>
</file>