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5AB" w:rsidRDefault="001765AB" w:rsidP="001765AB">
      <w:pPr>
        <w:pStyle w:val="NoSpacing"/>
        <w:rPr>
          <w:sz w:val="24"/>
          <w:szCs w:val="24"/>
          <w:lang w:eastAsia="ar-SA"/>
        </w:rPr>
      </w:pPr>
    </w:p>
    <w:p w:rsidR="0048407D" w:rsidRPr="0006524D" w:rsidRDefault="0048407D" w:rsidP="0048407D">
      <w:pPr>
        <w:spacing w:line="360" w:lineRule="auto"/>
        <w:jc w:val="both"/>
        <w:rPr>
          <w:rFonts w:ascii="Tahoma" w:hAnsi="Tahoma" w:cs="Tahoma"/>
          <w:sz w:val="24"/>
          <w:szCs w:val="24"/>
        </w:rPr>
      </w:pPr>
    </w:p>
    <w:p w:rsidR="0048407D" w:rsidRPr="0006524D" w:rsidRDefault="0048407D" w:rsidP="0048407D">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rPr>
          <w:rFonts w:ascii="Tahoma" w:hAnsi="Tahoma" w:cs="Tahoma"/>
          <w:sz w:val="36"/>
          <w:szCs w:val="24"/>
        </w:rPr>
      </w:pPr>
    </w:p>
    <w:p w:rsidR="0048407D" w:rsidRPr="009D64DF" w:rsidRDefault="0048407D" w:rsidP="0048407D">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sz w:val="36"/>
          <w:szCs w:val="24"/>
        </w:rPr>
      </w:pPr>
    </w:p>
    <w:p w:rsidR="0048407D" w:rsidRPr="009D64DF" w:rsidRDefault="0048407D" w:rsidP="0048407D">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sz w:val="36"/>
          <w:szCs w:val="24"/>
        </w:rPr>
      </w:pPr>
      <w:r w:rsidRPr="009D64DF">
        <w:rPr>
          <w:rFonts w:ascii="Times New Roman" w:hAnsi="Times New Roman" w:cs="Times New Roman"/>
          <w:sz w:val="36"/>
          <w:szCs w:val="24"/>
        </w:rPr>
        <w:t>ADVERSE REPORT</w:t>
      </w:r>
    </w:p>
    <w:p w:rsidR="0048407D" w:rsidRPr="009D64DF" w:rsidRDefault="0048407D" w:rsidP="0048407D">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sz w:val="36"/>
          <w:szCs w:val="24"/>
        </w:rPr>
      </w:pPr>
    </w:p>
    <w:p w:rsidR="0048407D" w:rsidRPr="009D64DF" w:rsidRDefault="0048407D" w:rsidP="0048407D">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sz w:val="36"/>
          <w:szCs w:val="24"/>
        </w:rPr>
      </w:pPr>
      <w:r w:rsidRPr="009D64DF">
        <w:rPr>
          <w:rFonts w:ascii="Times New Roman" w:hAnsi="Times New Roman" w:cs="Times New Roman"/>
          <w:sz w:val="36"/>
          <w:szCs w:val="24"/>
        </w:rPr>
        <w:t>OF THE</w:t>
      </w:r>
    </w:p>
    <w:p w:rsidR="0048407D" w:rsidRPr="009D64DF" w:rsidRDefault="0048407D" w:rsidP="0048407D">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sz w:val="36"/>
          <w:szCs w:val="24"/>
        </w:rPr>
      </w:pPr>
    </w:p>
    <w:p w:rsidR="0048407D" w:rsidRPr="009D64DF" w:rsidRDefault="0048407D" w:rsidP="0048407D">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sz w:val="36"/>
          <w:szCs w:val="24"/>
        </w:rPr>
      </w:pPr>
      <w:r w:rsidRPr="009D64DF">
        <w:rPr>
          <w:rFonts w:ascii="Times New Roman" w:hAnsi="Times New Roman" w:cs="Times New Roman"/>
          <w:sz w:val="36"/>
          <w:szCs w:val="24"/>
        </w:rPr>
        <w:t>PARLIAMENTARY LEGAL COMMITTEE</w:t>
      </w:r>
    </w:p>
    <w:p w:rsidR="0048407D" w:rsidRPr="009D64DF" w:rsidRDefault="0048407D" w:rsidP="0048407D">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sz w:val="36"/>
          <w:szCs w:val="24"/>
        </w:rPr>
      </w:pPr>
    </w:p>
    <w:p w:rsidR="0048407D" w:rsidRPr="009D64DF" w:rsidRDefault="0048407D" w:rsidP="0048407D">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sz w:val="36"/>
          <w:szCs w:val="24"/>
        </w:rPr>
      </w:pPr>
      <w:r w:rsidRPr="009D64DF">
        <w:rPr>
          <w:rFonts w:ascii="Times New Roman" w:hAnsi="Times New Roman" w:cs="Times New Roman"/>
          <w:sz w:val="36"/>
          <w:szCs w:val="24"/>
        </w:rPr>
        <w:t xml:space="preserve">ON THE </w:t>
      </w:r>
    </w:p>
    <w:p w:rsidR="0048407D" w:rsidRPr="009D64DF" w:rsidRDefault="0048407D" w:rsidP="0048407D">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sz w:val="36"/>
          <w:szCs w:val="24"/>
        </w:rPr>
      </w:pPr>
      <w:r w:rsidRPr="009D64DF">
        <w:rPr>
          <w:rFonts w:ascii="Times New Roman" w:hAnsi="Times New Roman" w:cs="Times New Roman"/>
          <w:sz w:val="36"/>
          <w:szCs w:val="24"/>
        </w:rPr>
        <w:t>MAINTENANCE OF PEACE AND ORDER BILL</w:t>
      </w:r>
      <w:bookmarkStart w:id="0" w:name="_GoBack"/>
      <w:bookmarkEnd w:id="0"/>
    </w:p>
    <w:p w:rsidR="0048407D" w:rsidRPr="009D64DF" w:rsidRDefault="0048407D" w:rsidP="0048407D">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imes New Roman" w:hAnsi="Times New Roman" w:cs="Times New Roman"/>
          <w:sz w:val="36"/>
          <w:szCs w:val="24"/>
        </w:rPr>
      </w:pPr>
      <w:r w:rsidRPr="009D64DF">
        <w:rPr>
          <w:rFonts w:ascii="Times New Roman" w:hAnsi="Times New Roman" w:cs="Times New Roman"/>
          <w:sz w:val="36"/>
          <w:szCs w:val="24"/>
        </w:rPr>
        <w:t>[H. B. 3, 2019]</w:t>
      </w:r>
    </w:p>
    <w:p w:rsidR="0048407D" w:rsidRPr="0006524D" w:rsidRDefault="0048407D" w:rsidP="0048407D">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ahoma" w:hAnsi="Tahoma" w:cs="Tahoma"/>
          <w:sz w:val="36"/>
          <w:szCs w:val="24"/>
        </w:rPr>
      </w:pPr>
    </w:p>
    <w:p w:rsidR="0048407D" w:rsidRPr="0006524D" w:rsidRDefault="0048407D" w:rsidP="0048407D">
      <w:pPr>
        <w:pBdr>
          <w:top w:val="thinThickThinSmallGap" w:sz="24" w:space="1" w:color="auto"/>
          <w:left w:val="thinThickThinSmallGap" w:sz="24" w:space="4" w:color="auto"/>
          <w:bottom w:val="thinThickThinSmallGap" w:sz="24" w:space="1" w:color="auto"/>
          <w:right w:val="thinThickThinSmallGap" w:sz="24" w:space="4" w:color="auto"/>
        </w:pBdr>
        <w:spacing w:line="360" w:lineRule="auto"/>
        <w:jc w:val="center"/>
        <w:rPr>
          <w:rFonts w:ascii="Tahoma" w:hAnsi="Tahoma" w:cs="Tahoma"/>
          <w:sz w:val="36"/>
          <w:szCs w:val="24"/>
        </w:rPr>
      </w:pPr>
    </w:p>
    <w:p w:rsidR="00037A4A" w:rsidRPr="00B36F00" w:rsidRDefault="00037A4A" w:rsidP="00CE5A52">
      <w:pPr>
        <w:pStyle w:val="LRPARTNUMBER"/>
        <w:spacing w:before="0" w:after="20"/>
        <w:ind w:left="561" w:right="561"/>
        <w:outlineLvl w:val="0"/>
        <w:rPr>
          <w:rFonts w:ascii="Arial" w:hAnsi="Arial" w:cs="Arial"/>
          <w:b/>
          <w:color w:val="FF0000"/>
          <w:sz w:val="18"/>
          <w:lang w:val="en-ZW"/>
        </w:rPr>
      </w:pPr>
      <w:r w:rsidRPr="00B36F00">
        <w:rPr>
          <w:rFonts w:ascii="Arial" w:hAnsi="Arial" w:cs="Arial"/>
          <w:b/>
          <w:color w:val="FF0000"/>
          <w:sz w:val="18"/>
          <w:lang w:val="en-ZW"/>
        </w:rPr>
        <w:t xml:space="preserve">DISTRIBUTED BY veritas </w:t>
      </w:r>
    </w:p>
    <w:p w:rsidR="00037A4A" w:rsidRPr="00B36F00" w:rsidRDefault="00037A4A" w:rsidP="00B36F00">
      <w:pPr>
        <w:pStyle w:val="LRPARTNUMBER"/>
        <w:spacing w:before="0"/>
        <w:ind w:left="561" w:right="561"/>
        <w:outlineLvl w:val="0"/>
        <w:rPr>
          <w:rFonts w:ascii="Arial" w:hAnsi="Arial" w:cs="Arial"/>
          <w:b/>
          <w:color w:val="4472C4" w:themeColor="accent5"/>
          <w:sz w:val="14"/>
          <w:szCs w:val="18"/>
          <w:lang w:val="en-ZW"/>
        </w:rPr>
      </w:pPr>
      <w:r w:rsidRPr="00B36F00">
        <w:rPr>
          <w:rFonts w:ascii="Arial" w:hAnsi="Arial" w:cs="Arial"/>
          <w:b/>
          <w:i/>
          <w:iCs/>
          <w:caps w:val="0"/>
          <w:color w:val="FF0000"/>
          <w:sz w:val="14"/>
          <w:szCs w:val="18"/>
          <w:lang w:val="en-ZW"/>
        </w:rPr>
        <w:t xml:space="preserve">E-mail: veritas@mango.zw  Website: </w:t>
      </w:r>
      <w:hyperlink r:id="rId7" w:history="1">
        <w:r w:rsidRPr="00B36F00">
          <w:rPr>
            <w:rStyle w:val="Hyperlink"/>
            <w:rFonts w:ascii="Arial" w:hAnsi="Arial" w:cs="Arial"/>
            <w:b/>
            <w:i/>
            <w:iCs/>
            <w:caps w:val="0"/>
            <w:color w:val="4472C4" w:themeColor="accent5"/>
            <w:sz w:val="14"/>
            <w:szCs w:val="18"/>
            <w:lang w:val="en-ZW"/>
          </w:rPr>
          <w:t>http://www.veritaszim.ne</w:t>
        </w:r>
      </w:hyperlink>
      <w:r w:rsidRPr="00B36F00">
        <w:rPr>
          <w:rFonts w:ascii="Arial" w:hAnsi="Arial" w:cs="Arial"/>
          <w:b/>
          <w:i/>
          <w:iCs/>
          <w:caps w:val="0"/>
          <w:color w:val="4472C4" w:themeColor="accent5"/>
          <w:sz w:val="14"/>
          <w:szCs w:val="18"/>
          <w:lang w:val="en-ZW"/>
        </w:rPr>
        <w:t>t</w:t>
      </w:r>
    </w:p>
    <w:p w:rsidR="00037A4A" w:rsidRPr="00B36F00" w:rsidRDefault="00037A4A" w:rsidP="00CE5A52">
      <w:pPr>
        <w:spacing w:after="20"/>
        <w:jc w:val="center"/>
        <w:rPr>
          <w:rFonts w:cs="Arial"/>
          <w:b/>
          <w:color w:val="FF0000"/>
          <w:sz w:val="16"/>
          <w:szCs w:val="28"/>
        </w:rPr>
      </w:pPr>
      <w:r w:rsidRPr="00B36F00">
        <w:rPr>
          <w:rFonts w:cs="Arial"/>
          <w:b/>
          <w:caps/>
          <w:color w:val="FF0000"/>
          <w:sz w:val="14"/>
          <w:szCs w:val="28"/>
        </w:rPr>
        <w:t xml:space="preserve">Veritas makes every effort to ensure the provision of reliable information, </w:t>
      </w:r>
      <w:r w:rsidRPr="00B36F00">
        <w:rPr>
          <w:rFonts w:cs="Arial"/>
          <w:b/>
          <w:caps/>
          <w:color w:val="FF0000"/>
          <w:sz w:val="14"/>
          <w:szCs w:val="28"/>
        </w:rPr>
        <w:br/>
        <w:t>but cannot take legal responsibility for information supplied</w:t>
      </w:r>
      <w:r w:rsidRPr="00B36F00">
        <w:rPr>
          <w:rFonts w:cs="Arial"/>
          <w:b/>
          <w:color w:val="FF0000"/>
          <w:sz w:val="16"/>
          <w:szCs w:val="28"/>
        </w:rPr>
        <w:t>.</w:t>
      </w:r>
    </w:p>
    <w:p w:rsidR="00037A4A" w:rsidRPr="00B36F00" w:rsidRDefault="00037A4A" w:rsidP="00E001D3">
      <w:pPr>
        <w:ind w:firstLine="720"/>
        <w:jc w:val="center"/>
        <w:rPr>
          <w:b/>
          <w:sz w:val="20"/>
        </w:rPr>
      </w:pPr>
      <w:r w:rsidRPr="00B36F00">
        <w:rPr>
          <w:b/>
          <w:sz w:val="20"/>
        </w:rPr>
        <w:t xml:space="preserve"> </w:t>
      </w:r>
    </w:p>
    <w:p w:rsidR="0048407D" w:rsidRPr="00E47EAE" w:rsidRDefault="0048407D" w:rsidP="0048407D">
      <w:pPr>
        <w:pStyle w:val="NormalWeb"/>
        <w:shd w:val="clear" w:color="auto" w:fill="FFFFFF"/>
        <w:spacing w:before="300" w:beforeAutospacing="0" w:after="0" w:afterAutospacing="0" w:line="360" w:lineRule="auto"/>
        <w:jc w:val="both"/>
      </w:pPr>
      <w:r w:rsidRPr="00E47EAE">
        <w:lastRenderedPageBreak/>
        <w:t xml:space="preserve">In pursuit of its constitutional mandate as provided for in section 152(2) of the Constitution of Zimbabwe, the Parliamentary Legal Committee (herein referred to as “the Committee”) considered the Maintenance of Peace and Order Bill [H. B. 3, of 2019].  The Committee held a breakfast meeting where a Consultant assisted the Committee in analysing the Bill.  The Committee proceeded to engage the Minister of Justice, Legal and Parliamentary Affairs (who was the Acting Minister of Home Affairs and Cultural Heritage at the time).  He was accompanied by the drafters of the Bill from the Attorney General’s Office and Officials from the Ministry of Home Affairs and Cultural Heritage.  During dialogue with the Minister, the Committee expressed concern over provisions it found to be unconstitutional.     </w:t>
      </w:r>
    </w:p>
    <w:p w:rsidR="0048407D" w:rsidRPr="00E47EAE" w:rsidRDefault="0048407D" w:rsidP="0048407D">
      <w:pPr>
        <w:pStyle w:val="NormalWeb"/>
        <w:shd w:val="clear" w:color="auto" w:fill="FFFFFF"/>
        <w:spacing w:before="300" w:beforeAutospacing="0" w:after="0" w:afterAutospacing="0" w:line="360" w:lineRule="auto"/>
        <w:jc w:val="both"/>
      </w:pPr>
      <w:r w:rsidRPr="00E47EAE">
        <w:t xml:space="preserve">After deliberations, the Committee unanimously (4:0) resolved that an adverse report be issued in respect of the Bill, due to the following reasons: </w:t>
      </w:r>
    </w:p>
    <w:p w:rsidR="0048407D" w:rsidRPr="00942B1C" w:rsidRDefault="0048407D" w:rsidP="00942B1C">
      <w:pPr>
        <w:pStyle w:val="ListParagraph"/>
        <w:numPr>
          <w:ilvl w:val="0"/>
          <w:numId w:val="1"/>
        </w:numPr>
        <w:shd w:val="clear" w:color="auto" w:fill="FFFFFF"/>
        <w:suppressAutoHyphens/>
        <w:spacing w:after="120" w:line="360" w:lineRule="auto"/>
        <w:jc w:val="both"/>
        <w:rPr>
          <w:rFonts w:ascii="Times New Roman" w:hAnsi="Times New Roman" w:cs="Times New Roman"/>
          <w:color w:val="1D2228"/>
          <w:sz w:val="24"/>
          <w:szCs w:val="24"/>
        </w:rPr>
      </w:pPr>
      <w:r w:rsidRPr="00E47EAE">
        <w:rPr>
          <w:rFonts w:ascii="Times New Roman" w:eastAsia="Times New Roman" w:hAnsi="Times New Roman" w:cs="Times New Roman"/>
          <w:bCs/>
          <w:sz w:val="24"/>
          <w:szCs w:val="24"/>
          <w:lang w:val="en-GB" w:eastAsia="ar-SA"/>
        </w:rPr>
        <w:t xml:space="preserve">In terms of clause 3 of the Bill as read with the definition for regulating authority in Clause 2, Police officers in command of districts have been designated regulating authorities for the district that they are in charge of.  Clause 3(2) gives regulating authorities the power to limit the freedom of assembly and association.  This violates section 58 of the Constitution. It is the Committee’s view that the extent of the limitation can be rescued by section 86 of the Constitution, which in subsection (2) allows for the limitation of rights and freedoms to the extent that the limitation is </w:t>
      </w:r>
      <w:r w:rsidRPr="00E47EAE">
        <w:rPr>
          <w:rFonts w:ascii="Times New Roman" w:eastAsia="Times New Roman" w:hAnsi="Times New Roman" w:cs="Times New Roman"/>
          <w:bCs/>
          <w:i/>
          <w:sz w:val="24"/>
          <w:szCs w:val="24"/>
          <w:lang w:val="en-GB" w:eastAsia="ar-SA"/>
        </w:rPr>
        <w:t>“</w:t>
      </w:r>
      <w:r w:rsidRPr="00E47EAE">
        <w:rPr>
          <w:rFonts w:ascii="Times New Roman" w:eastAsia="Times New Roman" w:hAnsi="Times New Roman" w:cs="Times New Roman"/>
          <w:b/>
          <w:bCs/>
          <w:i/>
          <w:sz w:val="24"/>
          <w:szCs w:val="24"/>
          <w:lang w:val="en-GB" w:eastAsia="ar-SA"/>
        </w:rPr>
        <w:t>fair, reasonable, necessary and justifiable in a democratic society based on openness, justice, human dignity, equality and freedom</w:t>
      </w:r>
      <w:r w:rsidRPr="00E47EAE">
        <w:rPr>
          <w:rFonts w:ascii="Times New Roman" w:eastAsia="Times New Roman" w:hAnsi="Times New Roman" w:cs="Times New Roman"/>
          <w:bCs/>
          <w:i/>
          <w:sz w:val="24"/>
          <w:szCs w:val="24"/>
          <w:lang w:val="en-GB" w:eastAsia="ar-SA"/>
        </w:rPr>
        <w:t xml:space="preserve">”. </w:t>
      </w:r>
      <w:r w:rsidRPr="00E47EAE">
        <w:rPr>
          <w:rFonts w:ascii="Times New Roman" w:hAnsi="Times New Roman" w:cs="Times New Roman"/>
          <w:b/>
          <w:color w:val="1D2228"/>
          <w:sz w:val="24"/>
          <w:szCs w:val="24"/>
        </w:rPr>
        <w:t>Justice Malaba D.C.J.</w:t>
      </w:r>
      <w:r w:rsidRPr="00E47EAE">
        <w:rPr>
          <w:rFonts w:ascii="Times New Roman" w:hAnsi="Times New Roman" w:cs="Times New Roman"/>
          <w:color w:val="1D2228"/>
          <w:sz w:val="24"/>
          <w:szCs w:val="24"/>
        </w:rPr>
        <w:t xml:space="preserve"> (as he then was) in the </w:t>
      </w:r>
      <w:proofErr w:type="spellStart"/>
      <w:r w:rsidRPr="00E47EAE">
        <w:rPr>
          <w:rFonts w:ascii="Times New Roman" w:hAnsi="Times New Roman" w:cs="Times New Roman"/>
          <w:i/>
          <w:color w:val="1D2228"/>
          <w:sz w:val="24"/>
          <w:szCs w:val="24"/>
        </w:rPr>
        <w:t>Chimakure</w:t>
      </w:r>
      <w:proofErr w:type="spellEnd"/>
      <w:r w:rsidRPr="00E47EAE">
        <w:rPr>
          <w:rFonts w:ascii="Times New Roman" w:hAnsi="Times New Roman" w:cs="Times New Roman"/>
          <w:color w:val="1D2228"/>
          <w:sz w:val="24"/>
          <w:szCs w:val="24"/>
        </w:rPr>
        <w:t xml:space="preserve"> case expressed that “</w:t>
      </w:r>
      <w:r w:rsidRPr="00E47EAE">
        <w:rPr>
          <w:rFonts w:ascii="Times New Roman" w:hAnsi="Times New Roman" w:cs="Times New Roman"/>
          <w:b/>
          <w:i/>
          <w:color w:val="1D2228"/>
          <w:sz w:val="24"/>
          <w:szCs w:val="24"/>
        </w:rPr>
        <w:t>excessive limitation of rights has the effect of decreasing the scope of the enjoyment of rights</w:t>
      </w:r>
      <w:r w:rsidRPr="00E47EAE">
        <w:rPr>
          <w:rFonts w:ascii="Times New Roman" w:hAnsi="Times New Roman" w:cs="Times New Roman"/>
          <w:color w:val="1D2228"/>
          <w:sz w:val="24"/>
          <w:szCs w:val="24"/>
        </w:rPr>
        <w:t xml:space="preserve">.”.  In exercising its regulatory powers, the regulating authorities have to give due regard to section 86 of the Constitution.  </w:t>
      </w:r>
    </w:p>
    <w:p w:rsidR="0048407D" w:rsidRPr="00E47EAE" w:rsidRDefault="0048407D" w:rsidP="0048407D">
      <w:pPr>
        <w:numPr>
          <w:ilvl w:val="0"/>
          <w:numId w:val="1"/>
        </w:numPr>
        <w:suppressAutoHyphens/>
        <w:spacing w:after="0" w:line="360" w:lineRule="auto"/>
        <w:jc w:val="both"/>
        <w:rPr>
          <w:rFonts w:ascii="Times New Roman" w:eastAsia="Times New Roman" w:hAnsi="Times New Roman" w:cs="Times New Roman"/>
          <w:bCs/>
          <w:sz w:val="24"/>
          <w:szCs w:val="24"/>
          <w:lang w:val="en-GB" w:eastAsia="ar-SA"/>
        </w:rPr>
      </w:pPr>
      <w:r w:rsidRPr="00E47EAE">
        <w:rPr>
          <w:rFonts w:ascii="Times New Roman" w:eastAsia="Times New Roman" w:hAnsi="Times New Roman" w:cs="Times New Roman"/>
          <w:bCs/>
          <w:sz w:val="24"/>
          <w:szCs w:val="24"/>
          <w:lang w:val="en-GB" w:eastAsia="ar-SA"/>
        </w:rPr>
        <w:t>Clause 4(2) of the Bill provides for the regulating authority to give notice of the temporary prohibition of possession of certain weapons within particular police districts.  This provision is restrictive in terms of dissemination of notice of prohibition.  The Committee found this to be in violation of section 62(1) and (2) of the Constitution, which state that—</w:t>
      </w:r>
    </w:p>
    <w:p w:rsidR="0048407D" w:rsidRPr="00E47EAE" w:rsidRDefault="0048407D" w:rsidP="0048407D">
      <w:pPr>
        <w:pStyle w:val="section"/>
        <w:ind w:left="360" w:firstLine="9"/>
        <w:rPr>
          <w:b/>
          <w:i/>
          <w:sz w:val="24"/>
          <w:szCs w:val="24"/>
          <w:lang w:val="en-ZW"/>
        </w:rPr>
      </w:pPr>
      <w:r w:rsidRPr="00E47EAE">
        <w:rPr>
          <w:i/>
          <w:sz w:val="24"/>
          <w:szCs w:val="24"/>
          <w:lang w:val="en-ZW"/>
        </w:rPr>
        <w:t xml:space="preserve">              “</w:t>
      </w:r>
      <w:r w:rsidRPr="00E47EAE">
        <w:rPr>
          <w:b/>
          <w:i/>
          <w:sz w:val="24"/>
          <w:szCs w:val="24"/>
          <w:lang w:val="en-ZW"/>
        </w:rPr>
        <w:t>(1) Every Zimbabwean citizen or permanent resident, including juristic persons and the Zimbabwean media, has the right of access to any information held by the State or by any institution or agency of government at every level, in so far as the information is required in the interests of public accountability.</w:t>
      </w:r>
    </w:p>
    <w:p w:rsidR="0048407D" w:rsidRPr="00E47EAE" w:rsidRDefault="0048407D" w:rsidP="0048407D">
      <w:pPr>
        <w:pStyle w:val="section"/>
        <w:ind w:left="360" w:firstLine="9"/>
        <w:rPr>
          <w:i/>
          <w:sz w:val="24"/>
          <w:szCs w:val="24"/>
          <w:lang w:val="en-ZW"/>
        </w:rPr>
      </w:pPr>
      <w:r w:rsidRPr="00E47EAE">
        <w:rPr>
          <w:b/>
          <w:i/>
          <w:sz w:val="24"/>
          <w:szCs w:val="24"/>
          <w:lang w:val="en-ZW"/>
        </w:rPr>
        <w:lastRenderedPageBreak/>
        <w:t xml:space="preserve">              (2)</w:t>
      </w:r>
      <w:r w:rsidRPr="00E47EAE">
        <w:rPr>
          <w:b/>
          <w:i/>
          <w:sz w:val="24"/>
          <w:szCs w:val="24"/>
          <w:lang w:val="en-ZW"/>
        </w:rPr>
        <w:tab/>
        <w:t>Every person, including the Zimbabwean media, has the right of access to any information held by any person, including the State, in so far as the information is required for the exercise or protection of a right</w:t>
      </w:r>
      <w:r w:rsidRPr="00E47EAE">
        <w:rPr>
          <w:i/>
          <w:sz w:val="24"/>
          <w:szCs w:val="24"/>
          <w:lang w:val="en-ZW"/>
        </w:rPr>
        <w:t>.”.</w:t>
      </w:r>
    </w:p>
    <w:p w:rsidR="0048407D" w:rsidRPr="00E47EAE" w:rsidRDefault="0048407D" w:rsidP="0048407D">
      <w:pPr>
        <w:suppressAutoHyphens/>
        <w:spacing w:after="0" w:line="360" w:lineRule="auto"/>
        <w:ind w:left="360"/>
        <w:jc w:val="both"/>
        <w:rPr>
          <w:rFonts w:ascii="Times New Roman" w:eastAsia="Times New Roman" w:hAnsi="Times New Roman" w:cs="Times New Roman"/>
          <w:bCs/>
          <w:sz w:val="24"/>
          <w:szCs w:val="24"/>
          <w:lang w:val="en-GB" w:eastAsia="ar-SA"/>
        </w:rPr>
      </w:pPr>
      <w:r w:rsidRPr="00E47EAE">
        <w:rPr>
          <w:rFonts w:ascii="Times New Roman" w:eastAsia="Times New Roman" w:hAnsi="Times New Roman" w:cs="Times New Roman"/>
          <w:bCs/>
          <w:sz w:val="24"/>
          <w:szCs w:val="24"/>
          <w:lang w:val="en-GB" w:eastAsia="ar-SA"/>
        </w:rPr>
        <w:t xml:space="preserve">The Committee reached this decision after having considered that people in rural areas may not have access to newspapers and public buildings.  A regulating authority may publish a notice of prohibition by the methods prescribed in the Bill.  However, people in rural areas who fail to see or hear the prohibition notice may easily find themselves slapped with a level five fine or imprisoned for six months or may incur both.  This sentence is harsh on an innocent citizen who may not have access to a newspaper, media or lives far away from public buildings. The Committee was of the opinion that the Bill should include dissemination of the notice through the traditional leader.    </w:t>
      </w:r>
    </w:p>
    <w:p w:rsidR="0048407D" w:rsidRPr="00E47EAE" w:rsidRDefault="0048407D" w:rsidP="0048407D">
      <w:pPr>
        <w:suppressAutoHyphens/>
        <w:spacing w:after="0" w:line="360" w:lineRule="auto"/>
        <w:ind w:left="720"/>
        <w:jc w:val="both"/>
        <w:rPr>
          <w:rFonts w:ascii="Times New Roman" w:eastAsia="Times New Roman" w:hAnsi="Times New Roman" w:cs="Times New Roman"/>
          <w:bCs/>
          <w:sz w:val="24"/>
          <w:szCs w:val="24"/>
          <w:lang w:val="en-GB" w:eastAsia="ar-SA"/>
        </w:rPr>
      </w:pPr>
    </w:p>
    <w:p w:rsidR="0048407D" w:rsidRPr="00E47EAE" w:rsidRDefault="0048407D" w:rsidP="0048407D">
      <w:pPr>
        <w:numPr>
          <w:ilvl w:val="0"/>
          <w:numId w:val="1"/>
        </w:numPr>
        <w:suppressAutoHyphens/>
        <w:spacing w:after="0" w:line="360" w:lineRule="auto"/>
        <w:jc w:val="both"/>
        <w:rPr>
          <w:rFonts w:ascii="Times New Roman" w:eastAsia="Times New Roman" w:hAnsi="Times New Roman" w:cs="Times New Roman"/>
          <w:bCs/>
          <w:sz w:val="24"/>
          <w:szCs w:val="24"/>
          <w:lang w:val="en-GB" w:eastAsia="ar-SA"/>
        </w:rPr>
      </w:pPr>
      <w:r w:rsidRPr="00E47EAE">
        <w:rPr>
          <w:rFonts w:ascii="Times New Roman" w:eastAsia="Times New Roman" w:hAnsi="Times New Roman" w:cs="Times New Roman"/>
          <w:bCs/>
          <w:sz w:val="24"/>
          <w:szCs w:val="24"/>
          <w:lang w:val="en-GB" w:eastAsia="ar-SA"/>
        </w:rPr>
        <w:t>Clause 4(3) of the Bill provides that an aggrieved individual should make an appeal to the Minister.  The Committee opined that this clause violates section 69(3) which gives the right to access to courts for resolution of any dispute, it reads as follows;</w:t>
      </w:r>
    </w:p>
    <w:p w:rsidR="00942B1C" w:rsidRDefault="0048407D" w:rsidP="0048407D">
      <w:pPr>
        <w:pStyle w:val="section"/>
        <w:ind w:left="360" w:firstLine="9"/>
        <w:rPr>
          <w:b/>
          <w:i/>
          <w:sz w:val="24"/>
          <w:szCs w:val="24"/>
          <w:lang w:val="en-ZW"/>
        </w:rPr>
      </w:pPr>
      <w:r w:rsidRPr="00E47EAE">
        <w:rPr>
          <w:i/>
          <w:sz w:val="24"/>
          <w:szCs w:val="24"/>
          <w:lang w:val="en-ZW"/>
        </w:rPr>
        <w:t xml:space="preserve">           “</w:t>
      </w:r>
      <w:r w:rsidRPr="00E47EAE">
        <w:rPr>
          <w:b/>
          <w:i/>
          <w:sz w:val="24"/>
          <w:szCs w:val="24"/>
          <w:lang w:val="en-ZW"/>
        </w:rPr>
        <w:t>(3)</w:t>
      </w:r>
      <w:r w:rsidRPr="00E47EAE">
        <w:rPr>
          <w:b/>
          <w:i/>
          <w:sz w:val="24"/>
          <w:szCs w:val="24"/>
          <w:lang w:val="en-ZW"/>
        </w:rPr>
        <w:tab/>
        <w:t xml:space="preserve">Every person has the right of access to the courts, or to some other </w:t>
      </w:r>
      <w:r w:rsidR="00942B1C">
        <w:rPr>
          <w:b/>
          <w:i/>
          <w:sz w:val="24"/>
          <w:szCs w:val="24"/>
          <w:lang w:val="en-ZW"/>
        </w:rPr>
        <w:t xml:space="preserve">    </w:t>
      </w:r>
    </w:p>
    <w:p w:rsidR="0048407D" w:rsidRPr="00E47EAE" w:rsidRDefault="00942B1C" w:rsidP="0048407D">
      <w:pPr>
        <w:pStyle w:val="section"/>
        <w:ind w:left="360" w:firstLine="9"/>
        <w:rPr>
          <w:i/>
          <w:sz w:val="24"/>
          <w:szCs w:val="24"/>
          <w:lang w:val="en-ZW"/>
        </w:rPr>
      </w:pPr>
      <w:r>
        <w:rPr>
          <w:i/>
          <w:sz w:val="24"/>
          <w:szCs w:val="24"/>
          <w:lang w:val="en-ZW"/>
        </w:rPr>
        <w:t xml:space="preserve">       </w:t>
      </w:r>
      <w:r w:rsidR="0048407D" w:rsidRPr="00E47EAE">
        <w:rPr>
          <w:b/>
          <w:i/>
          <w:sz w:val="24"/>
          <w:szCs w:val="24"/>
          <w:lang w:val="en-ZW"/>
        </w:rPr>
        <w:t>tribunal or forum established by law for the resolution of any dispute</w:t>
      </w:r>
      <w:r w:rsidR="0048407D" w:rsidRPr="00E47EAE">
        <w:rPr>
          <w:i/>
          <w:sz w:val="24"/>
          <w:szCs w:val="24"/>
          <w:lang w:val="en-ZW"/>
        </w:rPr>
        <w:t>.”.</w:t>
      </w:r>
    </w:p>
    <w:p w:rsidR="0048407D" w:rsidRPr="00E47EAE" w:rsidRDefault="0048407D" w:rsidP="0048407D">
      <w:pPr>
        <w:suppressAutoHyphens/>
        <w:spacing w:after="0" w:line="360" w:lineRule="auto"/>
        <w:ind w:left="720"/>
        <w:jc w:val="both"/>
        <w:rPr>
          <w:rFonts w:ascii="Times New Roman" w:eastAsia="Times New Roman" w:hAnsi="Times New Roman" w:cs="Times New Roman"/>
          <w:bCs/>
          <w:sz w:val="24"/>
          <w:szCs w:val="24"/>
          <w:lang w:val="en-GB" w:eastAsia="ar-SA"/>
        </w:rPr>
      </w:pPr>
    </w:p>
    <w:p w:rsidR="0048407D" w:rsidRPr="00E47EAE" w:rsidRDefault="0048407D" w:rsidP="00942B1C">
      <w:pPr>
        <w:suppressAutoHyphens/>
        <w:spacing w:after="0" w:line="360" w:lineRule="auto"/>
        <w:ind w:left="720"/>
        <w:jc w:val="both"/>
        <w:rPr>
          <w:rFonts w:ascii="Times New Roman" w:eastAsia="Times New Roman" w:hAnsi="Times New Roman" w:cs="Times New Roman"/>
          <w:bCs/>
          <w:sz w:val="24"/>
          <w:szCs w:val="24"/>
          <w:lang w:val="en-GB" w:eastAsia="ar-SA"/>
        </w:rPr>
      </w:pPr>
      <w:r w:rsidRPr="00E47EAE">
        <w:rPr>
          <w:rFonts w:ascii="Times New Roman" w:eastAsia="Times New Roman" w:hAnsi="Times New Roman" w:cs="Times New Roman"/>
          <w:bCs/>
          <w:sz w:val="24"/>
          <w:szCs w:val="24"/>
          <w:lang w:val="en-GB" w:eastAsia="ar-SA"/>
        </w:rPr>
        <w:t xml:space="preserve">Recourse to the Minister is not practicable due to the fact that it goes against the basic tenets of natural justice.  The Committee was of the view that aggrieved persons should approach the Magistrate’s court nearest to them.  </w:t>
      </w:r>
    </w:p>
    <w:p w:rsidR="0048407D" w:rsidRPr="00942B1C" w:rsidRDefault="00E47EAE" w:rsidP="00942B1C">
      <w:pPr>
        <w:pStyle w:val="ListParagraph"/>
        <w:numPr>
          <w:ilvl w:val="0"/>
          <w:numId w:val="1"/>
        </w:numPr>
        <w:shd w:val="clear" w:color="auto" w:fill="FFFFFF"/>
        <w:spacing w:after="360" w:line="435" w:lineRule="atLeast"/>
        <w:jc w:val="both"/>
        <w:textAlignment w:val="baseline"/>
        <w:rPr>
          <w:rFonts w:ascii="Times New Roman" w:eastAsia="Times New Roman" w:hAnsi="Times New Roman" w:cs="Times New Roman"/>
          <w:bCs/>
          <w:sz w:val="24"/>
          <w:szCs w:val="24"/>
          <w:lang w:val="en-GB" w:eastAsia="ar-SA"/>
        </w:rPr>
      </w:pPr>
      <w:r w:rsidRPr="00E47EAE">
        <w:rPr>
          <w:rFonts w:ascii="Times New Roman" w:eastAsia="Times New Roman" w:hAnsi="Times New Roman" w:cs="Times New Roman"/>
          <w:bCs/>
          <w:sz w:val="24"/>
          <w:szCs w:val="24"/>
          <w:lang w:val="en-GB" w:eastAsia="ar-SA"/>
        </w:rPr>
        <w:t>Clauses 5 to</w:t>
      </w:r>
      <w:r w:rsidR="0048407D" w:rsidRPr="00E47EAE">
        <w:rPr>
          <w:rFonts w:ascii="Times New Roman" w:eastAsia="Times New Roman" w:hAnsi="Times New Roman" w:cs="Times New Roman"/>
          <w:bCs/>
          <w:sz w:val="24"/>
          <w:szCs w:val="24"/>
          <w:lang w:val="en-GB" w:eastAsia="ar-SA"/>
        </w:rPr>
        <w:t>8 of the Bill bar citizens from spontaneous and peaceful gatherings.   The view of the Committee is that this limits the rights to freedom of assembly and association, conscience and expression.  This is in contravention of sections 58 and 60 of the Constitution.   A</w:t>
      </w:r>
      <w:r w:rsidRPr="00E47EAE">
        <w:rPr>
          <w:rFonts w:ascii="Times New Roman" w:eastAsia="Times New Roman" w:hAnsi="Times New Roman" w:cs="Times New Roman"/>
          <w:bCs/>
          <w:sz w:val="24"/>
          <w:szCs w:val="24"/>
          <w:lang w:val="en-GB" w:eastAsia="ar-SA"/>
        </w:rPr>
        <w:t>ccordingly, the Committee found it prudent that a</w:t>
      </w:r>
      <w:r w:rsidR="0048407D" w:rsidRPr="00E47EAE">
        <w:rPr>
          <w:rFonts w:ascii="Times New Roman" w:eastAsia="Times New Roman" w:hAnsi="Times New Roman" w:cs="Times New Roman"/>
          <w:bCs/>
          <w:sz w:val="24"/>
          <w:szCs w:val="24"/>
          <w:lang w:val="en-GB" w:eastAsia="ar-SA"/>
        </w:rPr>
        <w:t xml:space="preserve"> clause should be inserted in the Bill to provide for spontaneous meeting</w:t>
      </w:r>
      <w:r w:rsidRPr="00E47EAE">
        <w:rPr>
          <w:rFonts w:ascii="Times New Roman" w:eastAsia="Times New Roman" w:hAnsi="Times New Roman" w:cs="Times New Roman"/>
          <w:bCs/>
          <w:sz w:val="24"/>
          <w:szCs w:val="24"/>
          <w:lang w:val="en-GB" w:eastAsia="ar-SA"/>
        </w:rPr>
        <w:t>s</w:t>
      </w:r>
      <w:r w:rsidR="0048407D" w:rsidRPr="00E47EAE">
        <w:rPr>
          <w:rFonts w:ascii="Times New Roman" w:eastAsia="Times New Roman" w:hAnsi="Times New Roman" w:cs="Times New Roman"/>
          <w:bCs/>
          <w:sz w:val="24"/>
          <w:szCs w:val="24"/>
          <w:lang w:val="en-GB" w:eastAsia="ar-SA"/>
        </w:rPr>
        <w:t xml:space="preserve">.  </w:t>
      </w:r>
    </w:p>
    <w:p w:rsidR="0048407D" w:rsidRPr="00E47EAE" w:rsidRDefault="0048407D" w:rsidP="0048407D">
      <w:pPr>
        <w:pStyle w:val="ListParagraph"/>
        <w:numPr>
          <w:ilvl w:val="0"/>
          <w:numId w:val="1"/>
        </w:numPr>
        <w:shd w:val="clear" w:color="auto" w:fill="FFFFFF"/>
        <w:spacing w:after="360" w:line="435" w:lineRule="atLeast"/>
        <w:jc w:val="both"/>
        <w:textAlignment w:val="baseline"/>
        <w:rPr>
          <w:rFonts w:ascii="Times New Roman" w:eastAsia="Times New Roman" w:hAnsi="Times New Roman" w:cs="Times New Roman"/>
          <w:color w:val="140B14"/>
          <w:sz w:val="24"/>
          <w:szCs w:val="24"/>
          <w:lang w:eastAsia="en-ZW"/>
        </w:rPr>
      </w:pPr>
      <w:r w:rsidRPr="00E47EAE">
        <w:rPr>
          <w:rFonts w:ascii="Times New Roman" w:eastAsia="Times New Roman" w:hAnsi="Times New Roman" w:cs="Times New Roman"/>
          <w:bCs/>
          <w:sz w:val="24"/>
          <w:szCs w:val="24"/>
          <w:lang w:val="en-GB" w:eastAsia="ar-SA"/>
        </w:rPr>
        <w:t xml:space="preserve">The Committee found </w:t>
      </w:r>
      <w:r w:rsidR="00E47EAE" w:rsidRPr="00E47EAE">
        <w:rPr>
          <w:rFonts w:ascii="Times New Roman" w:eastAsia="Times New Roman" w:hAnsi="Times New Roman" w:cs="Times New Roman"/>
          <w:bCs/>
          <w:sz w:val="24"/>
          <w:szCs w:val="24"/>
          <w:lang w:val="en-GB" w:eastAsia="ar-SA"/>
        </w:rPr>
        <w:t xml:space="preserve">the </w:t>
      </w:r>
      <w:r w:rsidRPr="00E47EAE">
        <w:rPr>
          <w:rFonts w:ascii="Times New Roman" w:eastAsia="Times New Roman" w:hAnsi="Times New Roman" w:cs="Times New Roman"/>
          <w:bCs/>
          <w:sz w:val="24"/>
          <w:szCs w:val="24"/>
          <w:lang w:val="en-GB" w:eastAsia="ar-SA"/>
        </w:rPr>
        <w:t xml:space="preserve">provisions of clause 7(5) of the Bill to be unnecessary and unreasonable in a democratic society.   The clause provides for </w:t>
      </w:r>
      <w:r w:rsidR="00E47EAE" w:rsidRPr="00E47EAE">
        <w:rPr>
          <w:rFonts w:ascii="Times New Roman" w:eastAsia="Times New Roman" w:hAnsi="Times New Roman" w:cs="Times New Roman"/>
          <w:bCs/>
          <w:sz w:val="24"/>
          <w:szCs w:val="24"/>
          <w:lang w:val="en-GB" w:eastAsia="ar-SA"/>
        </w:rPr>
        <w:t xml:space="preserve">the </w:t>
      </w:r>
      <w:r w:rsidRPr="00E47EAE">
        <w:rPr>
          <w:rFonts w:ascii="Times New Roman" w:eastAsia="Times New Roman" w:hAnsi="Times New Roman" w:cs="Times New Roman"/>
          <w:bCs/>
          <w:sz w:val="24"/>
          <w:szCs w:val="24"/>
          <w:lang w:val="en-GB" w:eastAsia="ar-SA"/>
        </w:rPr>
        <w:t>criminalisation for the failure to give notice of a gathering. It attracts a</w:t>
      </w:r>
      <w:r w:rsidR="00E47EAE" w:rsidRPr="00E47EAE">
        <w:rPr>
          <w:rFonts w:ascii="Times New Roman" w:eastAsia="Times New Roman" w:hAnsi="Times New Roman" w:cs="Times New Roman"/>
          <w:bCs/>
          <w:sz w:val="24"/>
          <w:szCs w:val="24"/>
          <w:lang w:val="en-GB" w:eastAsia="ar-SA"/>
        </w:rPr>
        <w:t>n imprisonment</w:t>
      </w:r>
      <w:r w:rsidRPr="00E47EAE">
        <w:rPr>
          <w:rFonts w:ascii="Times New Roman" w:eastAsia="Times New Roman" w:hAnsi="Times New Roman" w:cs="Times New Roman"/>
          <w:bCs/>
          <w:sz w:val="24"/>
          <w:szCs w:val="24"/>
          <w:lang w:val="en-GB" w:eastAsia="ar-SA"/>
        </w:rPr>
        <w:t xml:space="preserve"> sentence </w:t>
      </w:r>
      <w:r w:rsidR="00E47EAE" w:rsidRPr="00E47EAE">
        <w:rPr>
          <w:rFonts w:ascii="Times New Roman" w:eastAsia="Times New Roman" w:hAnsi="Times New Roman" w:cs="Times New Roman"/>
          <w:bCs/>
          <w:sz w:val="24"/>
          <w:szCs w:val="24"/>
          <w:lang w:val="en-GB" w:eastAsia="ar-SA"/>
        </w:rPr>
        <w:t>for a period of not more than</w:t>
      </w:r>
      <w:r w:rsidRPr="00E47EAE">
        <w:rPr>
          <w:rFonts w:ascii="Times New Roman" w:eastAsia="Times New Roman" w:hAnsi="Times New Roman" w:cs="Times New Roman"/>
          <w:color w:val="140B14"/>
          <w:sz w:val="24"/>
          <w:szCs w:val="24"/>
          <w:lang w:eastAsia="en-ZW"/>
        </w:rPr>
        <w:t xml:space="preserve"> one-year </w:t>
      </w:r>
      <w:r w:rsidR="00E47EAE" w:rsidRPr="00E47EAE">
        <w:rPr>
          <w:rFonts w:ascii="Times New Roman" w:eastAsia="Times New Roman" w:hAnsi="Times New Roman" w:cs="Times New Roman"/>
          <w:color w:val="140B14"/>
          <w:sz w:val="24"/>
          <w:szCs w:val="24"/>
          <w:lang w:eastAsia="en-ZW"/>
        </w:rPr>
        <w:t>or</w:t>
      </w:r>
      <w:r w:rsidRPr="00E47EAE">
        <w:rPr>
          <w:rFonts w:ascii="Times New Roman" w:eastAsia="Times New Roman" w:hAnsi="Times New Roman" w:cs="Times New Roman"/>
          <w:color w:val="140B14"/>
          <w:sz w:val="24"/>
          <w:szCs w:val="24"/>
          <w:lang w:eastAsia="en-ZW"/>
        </w:rPr>
        <w:t xml:space="preserve"> a level 12 fine or both.  </w:t>
      </w:r>
      <w:r w:rsidR="00E47EAE" w:rsidRPr="00E47EAE">
        <w:rPr>
          <w:rFonts w:ascii="Times New Roman" w:eastAsia="Times New Roman" w:hAnsi="Times New Roman" w:cs="Times New Roman"/>
          <w:color w:val="140B14"/>
          <w:sz w:val="24"/>
          <w:szCs w:val="24"/>
          <w:lang w:eastAsia="en-ZW"/>
        </w:rPr>
        <w:t xml:space="preserve">This </w:t>
      </w:r>
      <w:r w:rsidRPr="00E47EAE">
        <w:rPr>
          <w:rFonts w:ascii="Times New Roman" w:eastAsia="Times New Roman" w:hAnsi="Times New Roman" w:cs="Times New Roman"/>
          <w:color w:val="140B14"/>
          <w:sz w:val="24"/>
          <w:szCs w:val="24"/>
          <w:lang w:eastAsia="en-ZW"/>
        </w:rPr>
        <w:t>is excessive for citizens exercising their fundamental right</w:t>
      </w:r>
      <w:r w:rsidR="00E47EAE" w:rsidRPr="00E47EAE">
        <w:rPr>
          <w:rFonts w:ascii="Times New Roman" w:eastAsia="Times New Roman" w:hAnsi="Times New Roman" w:cs="Times New Roman"/>
          <w:color w:val="140B14"/>
          <w:sz w:val="24"/>
          <w:szCs w:val="24"/>
          <w:lang w:eastAsia="en-ZW"/>
        </w:rPr>
        <w:t>s</w:t>
      </w:r>
      <w:r w:rsidRPr="00E47EAE">
        <w:rPr>
          <w:rFonts w:ascii="Times New Roman" w:eastAsia="Times New Roman" w:hAnsi="Times New Roman" w:cs="Times New Roman"/>
          <w:color w:val="140B14"/>
          <w:sz w:val="24"/>
          <w:szCs w:val="24"/>
          <w:lang w:eastAsia="en-ZW"/>
        </w:rPr>
        <w:t xml:space="preserve"> accorded by the Constitution.  </w:t>
      </w:r>
      <w:r w:rsidRPr="00E47EAE">
        <w:rPr>
          <w:rFonts w:ascii="Times New Roman" w:eastAsia="Times New Roman" w:hAnsi="Times New Roman" w:cs="Times New Roman"/>
          <w:bCs/>
          <w:sz w:val="24"/>
          <w:szCs w:val="24"/>
          <w:lang w:val="en-GB" w:eastAsia="ar-SA"/>
        </w:rPr>
        <w:t xml:space="preserve">The intention of clause 7(5) is </w:t>
      </w:r>
      <w:r w:rsidRPr="00E47EAE">
        <w:rPr>
          <w:rFonts w:ascii="Times New Roman" w:eastAsia="Times New Roman" w:hAnsi="Times New Roman" w:cs="Times New Roman"/>
          <w:bCs/>
          <w:sz w:val="24"/>
          <w:szCs w:val="24"/>
          <w:lang w:val="en-GB" w:eastAsia="ar-SA"/>
        </w:rPr>
        <w:lastRenderedPageBreak/>
        <w:t xml:space="preserve">clearly to curtail the citizen’s right to freedom of expression and conscience.  </w:t>
      </w:r>
      <w:r w:rsidRPr="00E47EAE">
        <w:rPr>
          <w:rFonts w:ascii="Times New Roman" w:eastAsia="Times New Roman" w:hAnsi="Times New Roman" w:cs="Times New Roman"/>
          <w:color w:val="140B14"/>
          <w:sz w:val="24"/>
          <w:szCs w:val="24"/>
          <w:lang w:eastAsia="en-ZW"/>
        </w:rPr>
        <w:t xml:space="preserve">In the case of </w:t>
      </w:r>
      <w:r w:rsidRPr="00E47EAE">
        <w:rPr>
          <w:rFonts w:ascii="Times New Roman" w:eastAsia="Times New Roman" w:hAnsi="Times New Roman" w:cs="Times New Roman"/>
          <w:i/>
          <w:color w:val="140B14"/>
          <w:sz w:val="24"/>
          <w:szCs w:val="24"/>
          <w:lang w:eastAsia="en-ZW"/>
        </w:rPr>
        <w:t xml:space="preserve">Democratic Assembly for Restoration &amp; Others v </w:t>
      </w:r>
      <w:proofErr w:type="spellStart"/>
      <w:r w:rsidRPr="00E47EAE">
        <w:rPr>
          <w:rFonts w:ascii="Times New Roman" w:eastAsia="Times New Roman" w:hAnsi="Times New Roman" w:cs="Times New Roman"/>
          <w:i/>
          <w:color w:val="140B14"/>
          <w:sz w:val="24"/>
          <w:szCs w:val="24"/>
          <w:lang w:eastAsia="en-ZW"/>
        </w:rPr>
        <w:t>Saunyama</w:t>
      </w:r>
      <w:proofErr w:type="spellEnd"/>
      <w:r w:rsidRPr="00E47EAE">
        <w:rPr>
          <w:rFonts w:ascii="Times New Roman" w:eastAsia="Times New Roman" w:hAnsi="Times New Roman" w:cs="Times New Roman"/>
          <w:i/>
          <w:color w:val="140B14"/>
          <w:sz w:val="24"/>
          <w:szCs w:val="24"/>
          <w:lang w:eastAsia="en-ZW"/>
        </w:rPr>
        <w:t xml:space="preserve"> N O &amp; Others,</w:t>
      </w:r>
      <w:r w:rsidRPr="00E47EAE">
        <w:rPr>
          <w:rFonts w:ascii="Times New Roman" w:eastAsia="Times New Roman" w:hAnsi="Times New Roman" w:cs="Times New Roman"/>
          <w:color w:val="140B14"/>
          <w:sz w:val="24"/>
          <w:szCs w:val="24"/>
          <w:lang w:eastAsia="en-ZW"/>
        </w:rPr>
        <w:t xml:space="preserve"> the Constitutional Court held that protests serve as an expression and reminder of outrage, condemnation or support of policies or actions.  In light of this judgment and the Committee’s views regarding the criminalization of failure to give notice of gatherings, the Committee concluded that a fine would serve the required purpose.</w:t>
      </w:r>
    </w:p>
    <w:p w:rsidR="0048407D" w:rsidRPr="00942B1C" w:rsidRDefault="0048407D" w:rsidP="0048407D">
      <w:pPr>
        <w:numPr>
          <w:ilvl w:val="0"/>
          <w:numId w:val="1"/>
        </w:numPr>
        <w:suppressAutoHyphens/>
        <w:spacing w:after="0" w:line="360" w:lineRule="auto"/>
        <w:jc w:val="both"/>
        <w:rPr>
          <w:rFonts w:ascii="Times New Roman" w:eastAsia="Times New Roman" w:hAnsi="Times New Roman" w:cs="Times New Roman"/>
          <w:bCs/>
          <w:i/>
          <w:sz w:val="24"/>
          <w:szCs w:val="24"/>
          <w:lang w:val="en-GB" w:eastAsia="ar-SA"/>
        </w:rPr>
      </w:pPr>
      <w:r w:rsidRPr="00E47EAE">
        <w:rPr>
          <w:rFonts w:ascii="Times New Roman" w:eastAsia="Times New Roman" w:hAnsi="Times New Roman" w:cs="Times New Roman"/>
          <w:bCs/>
          <w:sz w:val="24"/>
          <w:szCs w:val="24"/>
          <w:lang w:val="en-GB" w:eastAsia="ar-SA"/>
        </w:rPr>
        <w:t xml:space="preserve">Parliament is a public institution that is open to members of the public, for the reason that it is the place where elected representatives meet to consider and legislate on matters of public interest.  It is the Committee’s view that Clause 10 unreasonably limits the right to petition Parliament, </w:t>
      </w:r>
      <w:r w:rsidR="00E47EAE" w:rsidRPr="00E47EAE">
        <w:rPr>
          <w:rFonts w:ascii="Times New Roman" w:eastAsia="Times New Roman" w:hAnsi="Times New Roman" w:cs="Times New Roman"/>
          <w:bCs/>
          <w:sz w:val="24"/>
          <w:szCs w:val="24"/>
          <w:lang w:val="en-GB" w:eastAsia="ar-SA"/>
        </w:rPr>
        <w:t xml:space="preserve">as </w:t>
      </w:r>
      <w:r w:rsidRPr="00E47EAE">
        <w:rPr>
          <w:rFonts w:ascii="Times New Roman" w:eastAsia="Times New Roman" w:hAnsi="Times New Roman" w:cs="Times New Roman"/>
          <w:bCs/>
          <w:sz w:val="24"/>
          <w:szCs w:val="24"/>
          <w:lang w:val="en-GB" w:eastAsia="ar-SA"/>
        </w:rPr>
        <w:t xml:space="preserve">enshrined in section 149 of the Constitution. The Committee in reaching this decision noted that section 59 of the Constitution provides for peaceful demonstration and presentation of petitions.  To that end, the Standing Rules and Orders of both Houses of Parliament have made provision for the form and manner in which petitions are to be received. Parliament must adhere to its own rules as was declared in the case of </w:t>
      </w:r>
      <w:r w:rsidRPr="00E47EAE">
        <w:rPr>
          <w:rFonts w:ascii="Times New Roman" w:eastAsia="Times New Roman" w:hAnsi="Times New Roman" w:cs="Times New Roman"/>
          <w:bCs/>
          <w:i/>
          <w:sz w:val="24"/>
          <w:szCs w:val="24"/>
          <w:lang w:val="en-GB" w:eastAsia="ar-SA"/>
        </w:rPr>
        <w:t>Biti and Another</w:t>
      </w:r>
      <w:r w:rsidRPr="00E47EAE">
        <w:rPr>
          <w:rFonts w:ascii="Times New Roman" w:eastAsia="Times New Roman" w:hAnsi="Times New Roman" w:cs="Times New Roman"/>
          <w:bCs/>
          <w:sz w:val="24"/>
          <w:szCs w:val="24"/>
          <w:lang w:val="en-GB" w:eastAsia="ar-SA"/>
        </w:rPr>
        <w:t xml:space="preserve"> </w:t>
      </w:r>
      <w:r w:rsidRPr="00E47EAE">
        <w:rPr>
          <w:rFonts w:ascii="Times New Roman" w:eastAsia="Times New Roman" w:hAnsi="Times New Roman" w:cs="Times New Roman"/>
          <w:bCs/>
          <w:i/>
          <w:sz w:val="24"/>
          <w:szCs w:val="24"/>
          <w:lang w:val="en-GB" w:eastAsia="ar-SA"/>
        </w:rPr>
        <w:t>v the Minister of Justice (</w:t>
      </w:r>
      <w:r w:rsidR="00E47EAE" w:rsidRPr="00E47EAE">
        <w:rPr>
          <w:rFonts w:ascii="Times New Roman" w:eastAsia="Times New Roman" w:hAnsi="Times New Roman" w:cs="Times New Roman"/>
          <w:bCs/>
          <w:sz w:val="24"/>
          <w:szCs w:val="24"/>
          <w:lang w:val="en-GB" w:eastAsia="ar-SA"/>
        </w:rPr>
        <w:t>2002). In tandem with the foregoing i</w:t>
      </w:r>
      <w:r w:rsidRPr="00E47EAE">
        <w:rPr>
          <w:rFonts w:ascii="Times New Roman" w:eastAsia="Times New Roman" w:hAnsi="Times New Roman" w:cs="Times New Roman"/>
          <w:bCs/>
          <w:sz w:val="24"/>
          <w:szCs w:val="24"/>
          <w:lang w:val="en-GB" w:eastAsia="ar-SA"/>
        </w:rPr>
        <w:t xml:space="preserve">t is the Committee’s view that Parliament is responsible for its own internal affairs as asserted by </w:t>
      </w:r>
      <w:proofErr w:type="spellStart"/>
      <w:r w:rsidRPr="00E47EAE">
        <w:rPr>
          <w:rFonts w:ascii="Times New Roman" w:eastAsia="Times New Roman" w:hAnsi="Times New Roman" w:cs="Times New Roman"/>
          <w:b/>
          <w:bCs/>
          <w:sz w:val="24"/>
          <w:szCs w:val="24"/>
          <w:lang w:val="en-GB" w:eastAsia="ar-SA"/>
        </w:rPr>
        <w:t>Dumbutshena</w:t>
      </w:r>
      <w:proofErr w:type="spellEnd"/>
      <w:r w:rsidRPr="00E47EAE">
        <w:rPr>
          <w:rFonts w:ascii="Times New Roman" w:eastAsia="Times New Roman" w:hAnsi="Times New Roman" w:cs="Times New Roman"/>
          <w:b/>
          <w:bCs/>
          <w:sz w:val="24"/>
          <w:szCs w:val="24"/>
          <w:lang w:val="en-GB" w:eastAsia="ar-SA"/>
        </w:rPr>
        <w:t xml:space="preserve"> </w:t>
      </w:r>
      <w:proofErr w:type="spellStart"/>
      <w:r w:rsidRPr="00E47EAE">
        <w:rPr>
          <w:rFonts w:ascii="Times New Roman" w:eastAsia="Times New Roman" w:hAnsi="Times New Roman" w:cs="Times New Roman"/>
          <w:b/>
          <w:bCs/>
          <w:sz w:val="24"/>
          <w:szCs w:val="24"/>
          <w:lang w:val="en-GB" w:eastAsia="ar-SA"/>
        </w:rPr>
        <w:t>C.J</w:t>
      </w:r>
      <w:proofErr w:type="spellEnd"/>
      <w:r w:rsidRPr="00E47EAE">
        <w:rPr>
          <w:rFonts w:ascii="Times New Roman" w:eastAsia="Times New Roman" w:hAnsi="Times New Roman" w:cs="Times New Roman"/>
          <w:bCs/>
          <w:sz w:val="24"/>
          <w:szCs w:val="24"/>
          <w:lang w:val="en-GB" w:eastAsia="ar-SA"/>
        </w:rPr>
        <w:t xml:space="preserve">. in the case of </w:t>
      </w:r>
      <w:r w:rsidRPr="00E47EAE">
        <w:rPr>
          <w:rFonts w:ascii="Times New Roman" w:eastAsia="Times New Roman" w:hAnsi="Times New Roman" w:cs="Times New Roman"/>
          <w:bCs/>
          <w:i/>
          <w:sz w:val="24"/>
          <w:szCs w:val="24"/>
          <w:lang w:val="en-GB" w:eastAsia="ar-SA"/>
        </w:rPr>
        <w:t xml:space="preserve">Smith v Mutasa. </w:t>
      </w:r>
    </w:p>
    <w:p w:rsidR="0048407D" w:rsidRPr="00E47EAE" w:rsidRDefault="0048407D" w:rsidP="0048407D">
      <w:pPr>
        <w:pStyle w:val="ListParagraph"/>
        <w:numPr>
          <w:ilvl w:val="0"/>
          <w:numId w:val="1"/>
        </w:numPr>
        <w:suppressAutoHyphens/>
        <w:spacing w:after="0" w:line="360" w:lineRule="auto"/>
        <w:jc w:val="both"/>
        <w:rPr>
          <w:rFonts w:ascii="Times New Roman" w:eastAsia="Times New Roman" w:hAnsi="Times New Roman" w:cs="Times New Roman"/>
          <w:bCs/>
          <w:sz w:val="24"/>
          <w:szCs w:val="24"/>
          <w:lang w:val="en-GB" w:eastAsia="ar-SA"/>
        </w:rPr>
      </w:pPr>
      <w:r w:rsidRPr="00E47EAE">
        <w:rPr>
          <w:rFonts w:ascii="Times New Roman" w:eastAsia="Times New Roman" w:hAnsi="Times New Roman" w:cs="Times New Roman"/>
          <w:bCs/>
          <w:sz w:val="24"/>
          <w:szCs w:val="24"/>
          <w:lang w:val="en-GB" w:eastAsia="ar-SA"/>
        </w:rPr>
        <w:t xml:space="preserve">Clause 12 places civil liability on the convenor for damages or injuries occasioned by any disorder or breach of peace occurring at a gathering.   The Committee found this to be too broad and an invasion of the freedom of assembly and association as enunciated in section 58 of the Constitution.  </w:t>
      </w:r>
    </w:p>
    <w:p w:rsidR="0048407D" w:rsidRPr="00E47EAE" w:rsidRDefault="0048407D" w:rsidP="0048407D">
      <w:pPr>
        <w:pStyle w:val="ListParagraph"/>
        <w:suppressAutoHyphens/>
        <w:spacing w:after="0" w:line="360" w:lineRule="auto"/>
        <w:jc w:val="both"/>
        <w:rPr>
          <w:rFonts w:ascii="Times New Roman" w:eastAsia="Times New Roman" w:hAnsi="Times New Roman" w:cs="Times New Roman"/>
          <w:bCs/>
          <w:sz w:val="24"/>
          <w:szCs w:val="24"/>
          <w:lang w:val="en-GB" w:eastAsia="ar-SA"/>
        </w:rPr>
      </w:pPr>
    </w:p>
    <w:p w:rsidR="0048407D" w:rsidRPr="00942B1C" w:rsidRDefault="0048407D" w:rsidP="00942B1C">
      <w:pPr>
        <w:suppressAutoHyphens/>
        <w:spacing w:after="0" w:line="360" w:lineRule="auto"/>
        <w:ind w:left="369" w:hanging="369"/>
        <w:jc w:val="both"/>
        <w:rPr>
          <w:rFonts w:ascii="Times New Roman" w:hAnsi="Times New Roman" w:cs="Times New Roman"/>
          <w:i/>
          <w:sz w:val="24"/>
          <w:szCs w:val="24"/>
          <w:lang w:val="en-ZW"/>
        </w:rPr>
      </w:pPr>
      <w:r w:rsidRPr="00E47EAE">
        <w:rPr>
          <w:rFonts w:ascii="Times New Roman" w:eastAsia="Times New Roman" w:hAnsi="Times New Roman" w:cs="Times New Roman"/>
          <w:bCs/>
          <w:sz w:val="24"/>
          <w:szCs w:val="24"/>
          <w:lang w:val="en-GB" w:eastAsia="ar-SA"/>
        </w:rPr>
        <w:t xml:space="preserve">8. </w:t>
      </w:r>
      <w:r w:rsidRPr="00E47EAE">
        <w:rPr>
          <w:rFonts w:ascii="Times New Roman" w:eastAsia="Times New Roman" w:hAnsi="Times New Roman" w:cs="Times New Roman"/>
          <w:bCs/>
          <w:sz w:val="24"/>
          <w:szCs w:val="24"/>
          <w:lang w:val="en-GB" w:eastAsia="ar-SA"/>
        </w:rPr>
        <w:tab/>
        <w:t>Clause 14 requires every person over the age of 18 years to carry an identity document which must be produced on request by the police.  Failure to produce the identity document within seven days attracts a fine not exceeding level three.  This practice is a remnant from the oppressive colonial laws and must be done away with, in the Committee’s opinion. The Committee also thought that the requireme</w:t>
      </w:r>
      <w:r w:rsidR="00E47EAE" w:rsidRPr="00E47EAE">
        <w:rPr>
          <w:rFonts w:ascii="Times New Roman" w:eastAsia="Times New Roman" w:hAnsi="Times New Roman" w:cs="Times New Roman"/>
          <w:bCs/>
          <w:sz w:val="24"/>
          <w:szCs w:val="24"/>
          <w:lang w:val="en-GB" w:eastAsia="ar-SA"/>
        </w:rPr>
        <w:t>nt to carry i</w:t>
      </w:r>
      <w:r w:rsidRPr="00E47EAE">
        <w:rPr>
          <w:rFonts w:ascii="Times New Roman" w:eastAsia="Times New Roman" w:hAnsi="Times New Roman" w:cs="Times New Roman"/>
          <w:bCs/>
          <w:sz w:val="24"/>
          <w:szCs w:val="24"/>
          <w:lang w:val="en-GB" w:eastAsia="ar-SA"/>
        </w:rPr>
        <w:t>dentity documents inhibits freedom of movement provided for in section 66(2)(a) of the Constitution which</w:t>
      </w:r>
      <w:r w:rsidR="00E47EAE" w:rsidRPr="00E47EAE">
        <w:rPr>
          <w:rFonts w:ascii="Times New Roman" w:eastAsia="Times New Roman" w:hAnsi="Times New Roman" w:cs="Times New Roman"/>
          <w:bCs/>
          <w:sz w:val="24"/>
          <w:szCs w:val="24"/>
          <w:lang w:val="en-GB" w:eastAsia="ar-SA"/>
        </w:rPr>
        <w:t xml:space="preserve"> states that </w:t>
      </w:r>
      <w:r w:rsidRPr="00E47EAE">
        <w:rPr>
          <w:rFonts w:ascii="Times New Roman" w:hAnsi="Times New Roman" w:cs="Times New Roman"/>
          <w:sz w:val="24"/>
          <w:szCs w:val="24"/>
          <w:lang w:val="en-ZW"/>
        </w:rPr>
        <w:t>“</w:t>
      </w:r>
      <w:r w:rsidRPr="00E47EAE">
        <w:rPr>
          <w:rFonts w:ascii="Times New Roman" w:hAnsi="Times New Roman" w:cs="Times New Roman"/>
          <w:b/>
          <w:i/>
          <w:sz w:val="24"/>
          <w:szCs w:val="24"/>
          <w:lang w:val="en-ZW"/>
        </w:rPr>
        <w:t>Every Zimbabwean citizen and everyone else who is legally in Zimbabwe has the right to</w:t>
      </w:r>
      <w:r w:rsidR="00E47EAE" w:rsidRPr="00E47EAE">
        <w:rPr>
          <w:rFonts w:ascii="Times New Roman" w:hAnsi="Times New Roman" w:cs="Times New Roman"/>
          <w:b/>
          <w:i/>
          <w:sz w:val="24"/>
          <w:szCs w:val="24"/>
          <w:lang w:val="en-ZW"/>
        </w:rPr>
        <w:t xml:space="preserve"> </w:t>
      </w:r>
      <w:r w:rsidRPr="00E47EAE">
        <w:rPr>
          <w:rFonts w:ascii="Times New Roman" w:hAnsi="Times New Roman" w:cs="Times New Roman"/>
          <w:b/>
          <w:i/>
          <w:sz w:val="24"/>
          <w:szCs w:val="24"/>
          <w:lang w:val="en-ZW"/>
        </w:rPr>
        <w:t>move freely within Zimbabwe;</w:t>
      </w:r>
      <w:r w:rsidRPr="00E47EAE">
        <w:rPr>
          <w:rFonts w:ascii="Times New Roman" w:hAnsi="Times New Roman" w:cs="Times New Roman"/>
          <w:i/>
          <w:sz w:val="24"/>
          <w:szCs w:val="24"/>
          <w:lang w:val="en-ZW"/>
        </w:rPr>
        <w:t>”.</w:t>
      </w:r>
    </w:p>
    <w:p w:rsidR="0048407D" w:rsidRPr="00E47EAE" w:rsidRDefault="0048407D" w:rsidP="0048407D">
      <w:pPr>
        <w:pStyle w:val="yiv0616899023msonormal"/>
        <w:numPr>
          <w:ilvl w:val="0"/>
          <w:numId w:val="2"/>
        </w:numPr>
        <w:shd w:val="clear" w:color="auto" w:fill="FFFFFF"/>
        <w:spacing w:after="120" w:afterAutospacing="0" w:line="360" w:lineRule="auto"/>
        <w:jc w:val="both"/>
        <w:rPr>
          <w:color w:val="1D2228"/>
        </w:rPr>
      </w:pPr>
      <w:r w:rsidRPr="00E47EAE">
        <w:rPr>
          <w:bCs/>
          <w:lang w:val="en-GB" w:eastAsia="ar-SA"/>
        </w:rPr>
        <w:lastRenderedPageBreak/>
        <w:t xml:space="preserve">Clause 21 of the Bill provides for a summary trial, barring the accused from access to a court with the requisite jurisdiction, and this is unconstitutional.  This goes against the principles of natural justice and the right to be heard.  A trial should follow due process, where the accused is given a chance to explain their side, gather evidence and make adequate preparations for the trial.   The clause violates section 69 of the Constitution which provides the right to a fair hearing. Offenders should be taken through the process of a proper trial in a court of law, with the requisite jurisdiction. </w:t>
      </w:r>
      <w:r w:rsidRPr="00E47EAE">
        <w:rPr>
          <w:color w:val="1D2228"/>
        </w:rPr>
        <w:t xml:space="preserve">In the case of </w:t>
      </w:r>
      <w:proofErr w:type="spellStart"/>
      <w:r w:rsidRPr="00E47EAE">
        <w:rPr>
          <w:i/>
          <w:color w:val="1D2228"/>
        </w:rPr>
        <w:t>Munhumeso</w:t>
      </w:r>
      <w:proofErr w:type="spellEnd"/>
      <w:r w:rsidRPr="00E47EAE">
        <w:rPr>
          <w:i/>
          <w:color w:val="1D2228"/>
        </w:rPr>
        <w:t xml:space="preserve"> </w:t>
      </w:r>
      <w:r w:rsidRPr="00E47EAE">
        <w:rPr>
          <w:b/>
          <w:color w:val="1D2228"/>
        </w:rPr>
        <w:t xml:space="preserve">Justice Gubbay </w:t>
      </w:r>
      <w:proofErr w:type="spellStart"/>
      <w:r w:rsidRPr="00E47EAE">
        <w:rPr>
          <w:b/>
          <w:color w:val="1D2228"/>
        </w:rPr>
        <w:t>C.J</w:t>
      </w:r>
      <w:proofErr w:type="spellEnd"/>
      <w:r w:rsidRPr="00E47EAE">
        <w:rPr>
          <w:b/>
          <w:color w:val="1D2228"/>
        </w:rPr>
        <w:t>.</w:t>
      </w:r>
      <w:r w:rsidRPr="00E47EAE">
        <w:rPr>
          <w:color w:val="1D2228"/>
        </w:rPr>
        <w:t xml:space="preserve"> said the following: “</w:t>
      </w:r>
      <w:r w:rsidRPr="00E47EAE">
        <w:rPr>
          <w:b/>
          <w:i/>
          <w:color w:val="1D2228"/>
        </w:rPr>
        <w:t>the test in determining whether an enactment infringes a fundamental freedom is to examine its effect and not its object or subject matter</w:t>
      </w:r>
      <w:r w:rsidRPr="00E47EAE">
        <w:rPr>
          <w:color w:val="1D2228"/>
        </w:rPr>
        <w:t>.”.</w:t>
      </w:r>
    </w:p>
    <w:p w:rsidR="0048407D" w:rsidRDefault="00942B1C" w:rsidP="0048407D">
      <w:pPr>
        <w:pStyle w:val="yiv0616899023msonormal"/>
        <w:shd w:val="clear" w:color="auto" w:fill="FFFFFF"/>
        <w:spacing w:after="120" w:afterAutospacing="0" w:line="360" w:lineRule="auto"/>
        <w:ind w:left="720"/>
        <w:jc w:val="both"/>
        <w:rPr>
          <w:color w:val="1D2228"/>
        </w:rPr>
      </w:pPr>
      <w:r>
        <w:rPr>
          <w:color w:val="1D2228"/>
        </w:rPr>
        <w:t>In conclusion, i</w:t>
      </w:r>
      <w:r w:rsidR="0048407D" w:rsidRPr="00E47EAE">
        <w:rPr>
          <w:color w:val="1D2228"/>
        </w:rPr>
        <w:t xml:space="preserve">t is fundamental that the provisions of such an enactment must not only be seen to be conforming, but must </w:t>
      </w:r>
      <w:r>
        <w:rPr>
          <w:color w:val="1D2228"/>
        </w:rPr>
        <w:t xml:space="preserve">actually </w:t>
      </w:r>
      <w:r w:rsidR="0048407D" w:rsidRPr="00E47EAE">
        <w:rPr>
          <w:color w:val="1D2228"/>
        </w:rPr>
        <w:t xml:space="preserve">conform to the principles of the rule of law in the eyes of the domestic, as well as the international communities.  </w:t>
      </w:r>
      <w:r>
        <w:rPr>
          <w:color w:val="1D2228"/>
        </w:rPr>
        <w:t>The Committee is of the view that in order t</w:t>
      </w:r>
      <w:r w:rsidRPr="00942B1C">
        <w:rPr>
          <w:color w:val="1D2228"/>
        </w:rPr>
        <w:t xml:space="preserve">o secure the constitutional rights of citizens, there must be a concerted campaign to </w:t>
      </w:r>
      <w:r>
        <w:rPr>
          <w:color w:val="1D2228"/>
        </w:rPr>
        <w:t xml:space="preserve">ensure that the </w:t>
      </w:r>
      <w:r w:rsidRPr="00942B1C">
        <w:rPr>
          <w:color w:val="1D2228"/>
        </w:rPr>
        <w:t>fundamental rights</w:t>
      </w:r>
      <w:r>
        <w:rPr>
          <w:color w:val="1D2228"/>
        </w:rPr>
        <w:t xml:space="preserve"> of citizens are not unnecessarily infringed</w:t>
      </w:r>
      <w:r w:rsidRPr="00942B1C">
        <w:rPr>
          <w:color w:val="1D2228"/>
        </w:rPr>
        <w:t>.</w:t>
      </w:r>
      <w:r>
        <w:rPr>
          <w:color w:val="1D2228"/>
        </w:rPr>
        <w:t xml:space="preserve"> </w:t>
      </w:r>
    </w:p>
    <w:p w:rsidR="00942B1C" w:rsidRDefault="00942B1C" w:rsidP="0048407D">
      <w:pPr>
        <w:pStyle w:val="yiv0616899023msonormal"/>
        <w:shd w:val="clear" w:color="auto" w:fill="FFFFFF"/>
        <w:spacing w:after="120" w:afterAutospacing="0" w:line="360" w:lineRule="auto"/>
        <w:ind w:left="720"/>
        <w:jc w:val="both"/>
        <w:rPr>
          <w:color w:val="1D2228"/>
        </w:rPr>
      </w:pPr>
    </w:p>
    <w:p w:rsidR="00942B1C" w:rsidRDefault="00942B1C" w:rsidP="0048407D">
      <w:pPr>
        <w:pStyle w:val="yiv0616899023msonormal"/>
        <w:shd w:val="clear" w:color="auto" w:fill="FFFFFF"/>
        <w:spacing w:after="120" w:afterAutospacing="0" w:line="360" w:lineRule="auto"/>
        <w:ind w:left="720"/>
        <w:jc w:val="both"/>
        <w:rPr>
          <w:color w:val="1D2228"/>
        </w:rPr>
      </w:pPr>
    </w:p>
    <w:p w:rsidR="0048407D" w:rsidRPr="000E4363" w:rsidRDefault="0048407D" w:rsidP="0048407D">
      <w:pPr>
        <w:spacing w:after="200" w:line="360" w:lineRule="auto"/>
        <w:jc w:val="both"/>
        <w:rPr>
          <w:rFonts w:ascii="Times New Roman" w:hAnsi="Times New Roman" w:cs="Times New Roman"/>
          <w:sz w:val="24"/>
          <w:szCs w:val="24"/>
          <w:lang w:val="en-ZW"/>
        </w:rPr>
      </w:pPr>
      <w:r w:rsidRPr="000E4363">
        <w:rPr>
          <w:rFonts w:ascii="Times New Roman" w:hAnsi="Times New Roman" w:cs="Times New Roman"/>
          <w:b/>
          <w:sz w:val="24"/>
          <w:szCs w:val="24"/>
          <w:lang w:val="en-ZW"/>
        </w:rPr>
        <w:t>Hon. J. T. Samukange</w:t>
      </w:r>
    </w:p>
    <w:p w:rsidR="0048407D" w:rsidRPr="000B2B64" w:rsidRDefault="0048407D" w:rsidP="0048407D">
      <w:pPr>
        <w:spacing w:after="200" w:line="360" w:lineRule="auto"/>
        <w:jc w:val="both"/>
        <w:rPr>
          <w:rFonts w:ascii="Times New Roman" w:hAnsi="Times New Roman" w:cs="Times New Roman"/>
          <w:b/>
          <w:sz w:val="24"/>
          <w:szCs w:val="24"/>
          <w:lang w:val="en-ZW"/>
        </w:rPr>
      </w:pPr>
      <w:r w:rsidRPr="000B2B64">
        <w:rPr>
          <w:rFonts w:ascii="Times New Roman" w:hAnsi="Times New Roman" w:cs="Times New Roman"/>
          <w:b/>
          <w:sz w:val="24"/>
          <w:szCs w:val="24"/>
          <w:lang w:val="en-ZW"/>
        </w:rPr>
        <w:t>CHAIRPERSON</w:t>
      </w:r>
    </w:p>
    <w:p w:rsidR="0048407D" w:rsidRDefault="0048407D" w:rsidP="0048407D">
      <w:pPr>
        <w:pStyle w:val="NoSpacing"/>
        <w:jc w:val="both"/>
        <w:rPr>
          <w:sz w:val="24"/>
          <w:szCs w:val="24"/>
          <w:lang w:eastAsia="ar-SA"/>
        </w:rPr>
      </w:pPr>
      <w:r w:rsidRPr="000B2B64">
        <w:rPr>
          <w:rFonts w:ascii="Times New Roman" w:hAnsi="Times New Roman" w:cs="Times New Roman"/>
          <w:b/>
          <w:sz w:val="24"/>
          <w:szCs w:val="24"/>
          <w:lang w:val="en-ZW"/>
        </w:rPr>
        <w:t>PARLIAMENTARY LEGAL COMMI</w:t>
      </w:r>
      <w:r w:rsidR="00C56982">
        <w:rPr>
          <w:rFonts w:ascii="Times New Roman" w:hAnsi="Times New Roman" w:cs="Times New Roman"/>
          <w:b/>
          <w:sz w:val="24"/>
          <w:szCs w:val="24"/>
          <w:lang w:val="en-ZW"/>
        </w:rPr>
        <w:t xml:space="preserve">TTEE </w:t>
      </w:r>
    </w:p>
    <w:sectPr w:rsidR="0048407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8B4" w:rsidRDefault="007458B4" w:rsidP="00037A4A">
      <w:pPr>
        <w:spacing w:after="0" w:line="240" w:lineRule="auto"/>
      </w:pPr>
      <w:r>
        <w:separator/>
      </w:r>
    </w:p>
  </w:endnote>
  <w:endnote w:type="continuationSeparator" w:id="0">
    <w:p w:rsidR="007458B4" w:rsidRDefault="007458B4" w:rsidP="00037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4B3" w:rsidRDefault="00F624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4B3" w:rsidRDefault="00F624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4B3" w:rsidRDefault="00F624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8B4" w:rsidRDefault="007458B4" w:rsidP="00037A4A">
      <w:pPr>
        <w:spacing w:after="0" w:line="240" w:lineRule="auto"/>
      </w:pPr>
      <w:r>
        <w:separator/>
      </w:r>
    </w:p>
  </w:footnote>
  <w:footnote w:type="continuationSeparator" w:id="0">
    <w:p w:rsidR="007458B4" w:rsidRDefault="007458B4" w:rsidP="00037A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4B3" w:rsidRDefault="00F624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4B3" w:rsidRDefault="00F624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4B3" w:rsidRDefault="00F624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54B50"/>
    <w:multiLevelType w:val="hybridMultilevel"/>
    <w:tmpl w:val="025E4A4A"/>
    <w:lvl w:ilvl="0" w:tplc="3009000F">
      <w:start w:val="9"/>
      <w:numFmt w:val="decimal"/>
      <w:lvlText w:val="%1."/>
      <w:lvlJc w:val="left"/>
      <w:pPr>
        <w:ind w:left="720"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36D35C9"/>
    <w:multiLevelType w:val="hybridMultilevel"/>
    <w:tmpl w:val="BA54D248"/>
    <w:lvl w:ilvl="0" w:tplc="9B5A65C0">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AB"/>
    <w:rsid w:val="00037A4A"/>
    <w:rsid w:val="001765AB"/>
    <w:rsid w:val="0019230A"/>
    <w:rsid w:val="00247745"/>
    <w:rsid w:val="0026740A"/>
    <w:rsid w:val="00311526"/>
    <w:rsid w:val="0033561F"/>
    <w:rsid w:val="0048407D"/>
    <w:rsid w:val="00521A2B"/>
    <w:rsid w:val="006A5EB9"/>
    <w:rsid w:val="007458B4"/>
    <w:rsid w:val="007725E4"/>
    <w:rsid w:val="008C011F"/>
    <w:rsid w:val="008D4D22"/>
    <w:rsid w:val="00942B1C"/>
    <w:rsid w:val="00B31ED9"/>
    <w:rsid w:val="00C56982"/>
    <w:rsid w:val="00D74C57"/>
    <w:rsid w:val="00E47EAE"/>
    <w:rsid w:val="00E740DC"/>
    <w:rsid w:val="00F30FC7"/>
    <w:rsid w:val="00F624B3"/>
    <w:rsid w:val="00FD7E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FC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65AB"/>
    <w:pPr>
      <w:spacing w:after="0" w:line="240" w:lineRule="auto"/>
    </w:pPr>
    <w:rPr>
      <w:lang w:val="en-US"/>
    </w:rPr>
  </w:style>
  <w:style w:type="paragraph" w:styleId="NormalWeb">
    <w:name w:val="Normal (Web)"/>
    <w:basedOn w:val="Normal"/>
    <w:uiPriority w:val="99"/>
    <w:unhideWhenUsed/>
    <w:rsid w:val="0048407D"/>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styleId="ListParagraph">
    <w:name w:val="List Paragraph"/>
    <w:basedOn w:val="Normal"/>
    <w:uiPriority w:val="34"/>
    <w:qFormat/>
    <w:rsid w:val="0048407D"/>
    <w:pPr>
      <w:ind w:left="720"/>
      <w:contextualSpacing/>
    </w:pPr>
  </w:style>
  <w:style w:type="paragraph" w:customStyle="1" w:styleId="section">
    <w:name w:val="section"/>
    <w:basedOn w:val="Normal"/>
    <w:rsid w:val="0048407D"/>
    <w:pPr>
      <w:tabs>
        <w:tab w:val="left" w:pos="369"/>
        <w:tab w:val="left" w:pos="709"/>
      </w:tabs>
      <w:suppressAutoHyphens/>
      <w:spacing w:after="80" w:line="300" w:lineRule="exact"/>
      <w:ind w:firstLine="369"/>
      <w:jc w:val="both"/>
    </w:pPr>
    <w:rPr>
      <w:rFonts w:ascii="Times New Roman" w:eastAsia="Times New Roman" w:hAnsi="Times New Roman" w:cs="Times New Roman"/>
      <w:szCs w:val="20"/>
      <w:lang w:val="en-GB" w:eastAsia="ar-SA"/>
    </w:rPr>
  </w:style>
  <w:style w:type="paragraph" w:customStyle="1" w:styleId="para-a">
    <w:name w:val="para-a"/>
    <w:basedOn w:val="Normal"/>
    <w:rsid w:val="0048407D"/>
    <w:pPr>
      <w:tabs>
        <w:tab w:val="right" w:pos="680"/>
        <w:tab w:val="left" w:pos="822"/>
        <w:tab w:val="left" w:pos="1276"/>
      </w:tabs>
      <w:suppressAutoHyphens/>
      <w:spacing w:after="80" w:line="300" w:lineRule="exact"/>
      <w:ind w:left="822" w:hanging="822"/>
      <w:jc w:val="both"/>
    </w:pPr>
    <w:rPr>
      <w:rFonts w:ascii="Times New Roman" w:eastAsia="Times New Roman" w:hAnsi="Times New Roman" w:cs="Times New Roman"/>
      <w:szCs w:val="20"/>
      <w:lang w:val="en-GB" w:eastAsia="ar-SA"/>
    </w:rPr>
  </w:style>
  <w:style w:type="paragraph" w:customStyle="1" w:styleId="yiv0616899023msonormal">
    <w:name w:val="yiv0616899023msonormal"/>
    <w:basedOn w:val="Normal"/>
    <w:rsid w:val="0048407D"/>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customStyle="1" w:styleId="LRPARTNUMBER">
    <w:name w:val="LR PARTNUMBER"/>
    <w:basedOn w:val="Normal"/>
    <w:next w:val="Normal"/>
    <w:rsid w:val="00037A4A"/>
    <w:pPr>
      <w:keepNext/>
      <w:keepLines/>
      <w:tabs>
        <w:tab w:val="left" w:pos="426"/>
      </w:tabs>
      <w:suppressAutoHyphens/>
      <w:spacing w:before="240" w:after="120" w:line="240" w:lineRule="auto"/>
      <w:jc w:val="center"/>
    </w:pPr>
    <w:rPr>
      <w:rFonts w:ascii="Times New Roman" w:eastAsia="Times New Roman" w:hAnsi="Times New Roman" w:cs="Times New Roman"/>
      <w:caps/>
      <w:szCs w:val="20"/>
      <w:lang w:val="en-ZA"/>
    </w:rPr>
  </w:style>
  <w:style w:type="character" w:styleId="Hyperlink">
    <w:name w:val="Hyperlink"/>
    <w:basedOn w:val="DefaultParagraphFont"/>
    <w:uiPriority w:val="99"/>
    <w:unhideWhenUsed/>
    <w:rsid w:val="00037A4A"/>
    <w:rPr>
      <w:color w:val="0563C1"/>
      <w:u w:val="single"/>
    </w:rPr>
  </w:style>
  <w:style w:type="paragraph" w:styleId="Header">
    <w:name w:val="header"/>
    <w:basedOn w:val="Normal"/>
    <w:link w:val="HeaderChar"/>
    <w:uiPriority w:val="99"/>
    <w:unhideWhenUsed/>
    <w:rsid w:val="00037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A4A"/>
    <w:rPr>
      <w:lang w:val="en-US"/>
    </w:rPr>
  </w:style>
  <w:style w:type="paragraph" w:styleId="Footer">
    <w:name w:val="footer"/>
    <w:basedOn w:val="Normal"/>
    <w:link w:val="FooterChar"/>
    <w:uiPriority w:val="99"/>
    <w:unhideWhenUsed/>
    <w:rsid w:val="00037A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A4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veritaszim.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2019-07-25T13:09:00Z</dcterms:created>
  <dcterms:modified xsi:type="dcterms:W3CDTF">2019-07-25T13:15:00Z</dcterms:modified>
</cp:coreProperties>
</file>